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37524" w14:textId="77777777" w:rsidR="00D8241E" w:rsidRDefault="00D8241E" w:rsidP="00D8241E"/>
    <w:p w14:paraId="2731BE32" w14:textId="77777777" w:rsidR="00D8241E" w:rsidRPr="00277DAD" w:rsidRDefault="00D8241E" w:rsidP="00D8241E">
      <w:pPr>
        <w:spacing w:after="100"/>
        <w:jc w:val="right"/>
        <w:rPr>
          <w:rFonts w:ascii="Verdana" w:hAnsi="Verdana"/>
          <w:b/>
          <w:color w:val="000080"/>
          <w:sz w:val="32"/>
          <w:szCs w:val="32"/>
        </w:rPr>
      </w:pPr>
      <w:r w:rsidRPr="00277DAD">
        <w:rPr>
          <w:rFonts w:ascii="Verdana" w:hAnsi="Verdana"/>
          <w:b/>
          <w:color w:val="000080"/>
          <w:sz w:val="32"/>
          <w:szCs w:val="32"/>
        </w:rPr>
        <w:t>Feasibility Investigation (Phase 1) to Develop a</w:t>
      </w:r>
    </w:p>
    <w:p w14:paraId="3A5A4F05" w14:textId="77777777" w:rsidR="00D8241E" w:rsidRPr="00277DAD" w:rsidRDefault="00D8241E" w:rsidP="00D8241E">
      <w:pPr>
        <w:spacing w:after="100"/>
        <w:jc w:val="right"/>
        <w:rPr>
          <w:rFonts w:ascii="Verdana" w:hAnsi="Verdana"/>
          <w:b/>
          <w:color w:val="000080"/>
          <w:sz w:val="32"/>
          <w:szCs w:val="32"/>
        </w:rPr>
      </w:pPr>
      <w:r w:rsidRPr="00277DAD">
        <w:rPr>
          <w:rFonts w:ascii="Verdana" w:hAnsi="Verdana"/>
          <w:b/>
          <w:color w:val="000080"/>
          <w:sz w:val="32"/>
          <w:szCs w:val="32"/>
        </w:rPr>
        <w:t>Potable Water-Supply from the Bedford Basin</w:t>
      </w:r>
    </w:p>
    <w:p w14:paraId="359637E7" w14:textId="77777777" w:rsidR="00D8241E" w:rsidRPr="00277DAD" w:rsidRDefault="00D8241E" w:rsidP="00D8241E">
      <w:pPr>
        <w:jc w:val="right"/>
        <w:rPr>
          <w:rFonts w:ascii="Verdana" w:hAnsi="Verdana"/>
          <w:color w:val="000080"/>
          <w:szCs w:val="22"/>
        </w:rPr>
      </w:pPr>
    </w:p>
    <w:p w14:paraId="5EEB5E86" w14:textId="77777777" w:rsidR="00D8241E" w:rsidRPr="00277DAD" w:rsidRDefault="00D8241E" w:rsidP="00D8241E">
      <w:pPr>
        <w:jc w:val="right"/>
        <w:rPr>
          <w:rFonts w:ascii="Verdana" w:hAnsi="Verdana"/>
          <w:color w:val="000080"/>
          <w:szCs w:val="22"/>
        </w:rPr>
      </w:pPr>
    </w:p>
    <w:p w14:paraId="06963112" w14:textId="77777777" w:rsidR="00D8241E" w:rsidRPr="00277DAD" w:rsidRDefault="00D8241E" w:rsidP="00D8241E">
      <w:pPr>
        <w:jc w:val="right"/>
        <w:rPr>
          <w:rFonts w:ascii="Verdana" w:hAnsi="Verdana"/>
          <w:color w:val="000080"/>
          <w:szCs w:val="22"/>
        </w:rPr>
      </w:pPr>
    </w:p>
    <w:p w14:paraId="4AE532B7" w14:textId="77777777" w:rsidR="00D8241E" w:rsidRPr="00277DAD" w:rsidRDefault="00D8241E" w:rsidP="00D8241E">
      <w:pPr>
        <w:jc w:val="right"/>
        <w:rPr>
          <w:rFonts w:ascii="Verdana" w:hAnsi="Verdana"/>
          <w:color w:val="000080"/>
          <w:szCs w:val="22"/>
        </w:rPr>
      </w:pPr>
    </w:p>
    <w:p w14:paraId="55D772A4" w14:textId="77777777" w:rsidR="00D8241E" w:rsidRPr="00277DAD" w:rsidRDefault="00D8241E" w:rsidP="00D8241E">
      <w:pPr>
        <w:jc w:val="right"/>
        <w:rPr>
          <w:rFonts w:ascii="Verdana" w:hAnsi="Verdana"/>
          <w:color w:val="000080"/>
          <w:szCs w:val="22"/>
        </w:rPr>
      </w:pPr>
    </w:p>
    <w:p w14:paraId="4555E774" w14:textId="77777777" w:rsidR="00D8241E" w:rsidRPr="00277DAD" w:rsidRDefault="00D8241E" w:rsidP="00D8241E">
      <w:pPr>
        <w:jc w:val="right"/>
        <w:rPr>
          <w:rFonts w:ascii="Verdana" w:hAnsi="Verdana"/>
          <w:color w:val="000080"/>
          <w:szCs w:val="22"/>
        </w:rPr>
      </w:pPr>
    </w:p>
    <w:p w14:paraId="0B9D19DF" w14:textId="77777777" w:rsidR="00D8241E" w:rsidRPr="00277DAD" w:rsidRDefault="00D8241E" w:rsidP="00D8241E">
      <w:pPr>
        <w:jc w:val="right"/>
        <w:rPr>
          <w:rFonts w:ascii="Verdana" w:hAnsi="Verdana"/>
          <w:color w:val="000080"/>
          <w:szCs w:val="22"/>
        </w:rPr>
      </w:pPr>
    </w:p>
    <w:p w14:paraId="24F6337D" w14:textId="77777777" w:rsidR="00D8241E" w:rsidRPr="00277DAD" w:rsidRDefault="00D8241E" w:rsidP="00D8241E">
      <w:pPr>
        <w:jc w:val="right"/>
        <w:rPr>
          <w:rFonts w:ascii="Verdana" w:hAnsi="Verdana"/>
          <w:color w:val="000080"/>
        </w:rPr>
      </w:pPr>
      <w:r w:rsidRPr="00277DAD">
        <w:rPr>
          <w:rFonts w:ascii="Verdana" w:hAnsi="Verdana"/>
          <w:color w:val="000080"/>
        </w:rPr>
        <w:t>August 2015</w:t>
      </w:r>
    </w:p>
    <w:p w14:paraId="14221416" w14:textId="77777777" w:rsidR="00D8241E" w:rsidRPr="00277DAD" w:rsidRDefault="00D8241E" w:rsidP="00D8241E">
      <w:pPr>
        <w:jc w:val="right"/>
        <w:rPr>
          <w:rFonts w:ascii="Verdana" w:hAnsi="Verdana"/>
          <w:color w:val="000080"/>
          <w:szCs w:val="22"/>
        </w:rPr>
      </w:pPr>
    </w:p>
    <w:p w14:paraId="7A694304" w14:textId="77777777" w:rsidR="00D8241E" w:rsidRPr="00277DAD" w:rsidRDefault="00D8241E" w:rsidP="00D8241E">
      <w:pPr>
        <w:jc w:val="right"/>
        <w:rPr>
          <w:rFonts w:ascii="Verdana" w:hAnsi="Verdana"/>
          <w:color w:val="000080"/>
          <w:szCs w:val="22"/>
        </w:rPr>
      </w:pPr>
    </w:p>
    <w:p w14:paraId="333CE50B" w14:textId="77777777" w:rsidR="00D8241E" w:rsidRPr="00277DAD" w:rsidRDefault="00D8241E" w:rsidP="00D8241E">
      <w:pPr>
        <w:jc w:val="right"/>
        <w:rPr>
          <w:rFonts w:ascii="Verdana" w:hAnsi="Verdana"/>
          <w:color w:val="000080"/>
          <w:szCs w:val="22"/>
        </w:rPr>
      </w:pPr>
    </w:p>
    <w:p w14:paraId="422BA2C0" w14:textId="77777777" w:rsidR="00D8241E" w:rsidRPr="00277DAD" w:rsidRDefault="00D8241E" w:rsidP="00D8241E">
      <w:pPr>
        <w:jc w:val="right"/>
        <w:rPr>
          <w:rFonts w:ascii="Verdana" w:hAnsi="Verdana"/>
          <w:color w:val="000080"/>
          <w:szCs w:val="22"/>
        </w:rPr>
      </w:pPr>
    </w:p>
    <w:p w14:paraId="1F0F6BBB" w14:textId="77777777" w:rsidR="00D8241E" w:rsidRDefault="00D8241E" w:rsidP="00D8241E">
      <w:pPr>
        <w:jc w:val="right"/>
        <w:rPr>
          <w:rFonts w:ascii="Verdana" w:hAnsi="Verdana"/>
          <w:color w:val="000080"/>
          <w:szCs w:val="22"/>
        </w:rPr>
      </w:pPr>
    </w:p>
    <w:p w14:paraId="2DA49F74" w14:textId="77777777" w:rsidR="00277DAD" w:rsidRPr="00277DAD" w:rsidRDefault="00277DAD" w:rsidP="00D8241E">
      <w:pPr>
        <w:jc w:val="right"/>
        <w:rPr>
          <w:rFonts w:ascii="Verdana" w:hAnsi="Verdana"/>
          <w:color w:val="000080"/>
          <w:szCs w:val="22"/>
        </w:rPr>
      </w:pPr>
    </w:p>
    <w:p w14:paraId="1F85F9A9" w14:textId="77777777" w:rsidR="00D8241E" w:rsidRPr="00277DAD" w:rsidRDefault="00D8241E" w:rsidP="00D8241E">
      <w:pPr>
        <w:jc w:val="right"/>
        <w:rPr>
          <w:rFonts w:ascii="Verdana" w:hAnsi="Verdana"/>
          <w:color w:val="000080"/>
          <w:szCs w:val="22"/>
        </w:rPr>
      </w:pPr>
    </w:p>
    <w:p w14:paraId="71C79E09" w14:textId="77777777" w:rsidR="00D8241E" w:rsidRPr="00C55418" w:rsidRDefault="00D8241E" w:rsidP="00D8241E">
      <w:pPr>
        <w:jc w:val="right"/>
        <w:rPr>
          <w:rFonts w:ascii="Franklin Gothic Demi" w:hAnsi="Franklin Gothic Demi"/>
          <w:color w:val="000080"/>
          <w:szCs w:val="22"/>
        </w:rPr>
      </w:pPr>
      <w:r w:rsidRPr="00277DAD">
        <w:rPr>
          <w:rFonts w:ascii="Verdana" w:hAnsi="Verdana"/>
          <w:b/>
          <w:color w:val="000080"/>
          <w:szCs w:val="22"/>
        </w:rPr>
        <w:t>Prepared for</w:t>
      </w:r>
      <w:r w:rsidRPr="00C55418">
        <w:rPr>
          <w:rFonts w:ascii="Franklin Gothic Demi" w:hAnsi="Franklin Gothic Demi"/>
          <w:color w:val="000080"/>
          <w:szCs w:val="22"/>
        </w:rPr>
        <w:t>:</w:t>
      </w:r>
    </w:p>
    <w:p w14:paraId="1206B0B7" w14:textId="77777777" w:rsidR="00277DAD" w:rsidRDefault="00D8241E" w:rsidP="00D8241E">
      <w:pPr>
        <w:jc w:val="right"/>
        <w:rPr>
          <w:rFonts w:ascii="Verdana" w:hAnsi="Verdana"/>
          <w:color w:val="000080"/>
          <w:szCs w:val="22"/>
        </w:rPr>
      </w:pPr>
      <w:r w:rsidRPr="00277DAD">
        <w:rPr>
          <w:rFonts w:ascii="Verdana" w:hAnsi="Verdana"/>
          <w:color w:val="000080"/>
          <w:szCs w:val="22"/>
        </w:rPr>
        <w:t xml:space="preserve">The City of Corona, </w:t>
      </w:r>
      <w:r w:rsidR="00277DAD">
        <w:rPr>
          <w:rFonts w:ascii="Verdana" w:hAnsi="Verdana"/>
          <w:color w:val="000080"/>
          <w:szCs w:val="22"/>
        </w:rPr>
        <w:t>Elsinore Valley Water District,</w:t>
      </w:r>
    </w:p>
    <w:p w14:paraId="25B6101C" w14:textId="77777777" w:rsidR="00D8241E" w:rsidRPr="00277DAD" w:rsidRDefault="00D8241E" w:rsidP="00D8241E">
      <w:pPr>
        <w:jc w:val="right"/>
        <w:rPr>
          <w:rFonts w:ascii="Verdana" w:hAnsi="Verdana"/>
          <w:color w:val="000080"/>
          <w:szCs w:val="22"/>
        </w:rPr>
      </w:pPr>
      <w:r w:rsidRPr="00277DAD">
        <w:rPr>
          <w:rFonts w:ascii="Verdana" w:hAnsi="Verdana"/>
          <w:color w:val="000080"/>
          <w:szCs w:val="22"/>
        </w:rPr>
        <w:t>and Lee Lake Water District</w:t>
      </w:r>
    </w:p>
    <w:p w14:paraId="5494BB6B" w14:textId="77777777" w:rsidR="00D8241E" w:rsidRDefault="00D8241E" w:rsidP="00D8241E">
      <w:pPr>
        <w:jc w:val="right"/>
        <w:rPr>
          <w:rFonts w:ascii="Verdana" w:hAnsi="Verdana"/>
          <w:color w:val="000080"/>
          <w:szCs w:val="22"/>
        </w:rPr>
      </w:pPr>
    </w:p>
    <w:p w14:paraId="68E6C904" w14:textId="77777777" w:rsidR="00277DAD" w:rsidRDefault="00277DAD" w:rsidP="00D8241E">
      <w:pPr>
        <w:ind w:right="-270"/>
        <w:jc w:val="right"/>
        <w:rPr>
          <w:rFonts w:ascii="Verdana" w:hAnsi="Verdana"/>
          <w:color w:val="000080"/>
          <w:szCs w:val="22"/>
        </w:rPr>
      </w:pPr>
    </w:p>
    <w:p w14:paraId="78BA93CA" w14:textId="77777777" w:rsidR="00D8241E" w:rsidRDefault="00D8241E" w:rsidP="00D8241E">
      <w:pPr>
        <w:jc w:val="right"/>
        <w:rPr>
          <w:rFonts w:ascii="Verdana" w:hAnsi="Verdana"/>
          <w:color w:val="000080"/>
          <w:szCs w:val="22"/>
        </w:rPr>
      </w:pPr>
      <w:r>
        <w:rPr>
          <w:rFonts w:ascii="Verdana" w:hAnsi="Verdana"/>
          <w:noProof/>
          <w:color w:val="000080"/>
          <w:szCs w:val="22"/>
        </w:rPr>
        <w:drawing>
          <wp:anchor distT="0" distB="0" distL="114300" distR="114300" simplePos="0" relativeHeight="251659264" behindDoc="1" locked="0" layoutInCell="1" allowOverlap="1" wp14:anchorId="58361FB8" wp14:editId="2F6BA951">
            <wp:simplePos x="0" y="0"/>
            <wp:positionH relativeFrom="column">
              <wp:posOffset>2242820</wp:posOffset>
            </wp:positionH>
            <wp:positionV relativeFrom="paragraph">
              <wp:posOffset>14605</wp:posOffset>
            </wp:positionV>
            <wp:extent cx="1005840" cy="1005840"/>
            <wp:effectExtent l="0" t="0" r="3810" b="3810"/>
            <wp:wrapNone/>
            <wp:docPr id="1" name="Picture 1" descr="S:\Data\Images\Logos\City of Corona\Corona_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ta\Images\Logos\City of Corona\Corona_Se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5840" cy="1005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C49775" w14:textId="77777777" w:rsidR="00D8241E" w:rsidRDefault="00277DAD" w:rsidP="00D8241E">
      <w:pPr>
        <w:jc w:val="right"/>
        <w:rPr>
          <w:rFonts w:ascii="Verdana" w:hAnsi="Verdana"/>
          <w:color w:val="000080"/>
          <w:szCs w:val="22"/>
        </w:rPr>
      </w:pPr>
      <w:r>
        <w:rPr>
          <w:rFonts w:ascii="Verdana" w:hAnsi="Verdana"/>
          <w:noProof/>
          <w:color w:val="000080"/>
          <w:szCs w:val="22"/>
        </w:rPr>
        <w:drawing>
          <wp:inline distT="0" distB="0" distL="0" distR="0" wp14:anchorId="504B493D" wp14:editId="73458791">
            <wp:extent cx="2263408" cy="505815"/>
            <wp:effectExtent l="0" t="0" r="381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mwd.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78007" cy="509078"/>
                    </a:xfrm>
                    <a:prstGeom prst="rect">
                      <a:avLst/>
                    </a:prstGeom>
                  </pic:spPr>
                </pic:pic>
              </a:graphicData>
            </a:graphic>
          </wp:inline>
        </w:drawing>
      </w:r>
    </w:p>
    <w:p w14:paraId="18F32CB6" w14:textId="77777777" w:rsidR="00277DAD" w:rsidRDefault="00277DAD" w:rsidP="00D8241E">
      <w:pPr>
        <w:jc w:val="right"/>
        <w:rPr>
          <w:rFonts w:ascii="Verdana" w:hAnsi="Verdana"/>
          <w:color w:val="000080"/>
          <w:szCs w:val="22"/>
        </w:rPr>
      </w:pPr>
    </w:p>
    <w:p w14:paraId="4407075A" w14:textId="77777777" w:rsidR="00D8241E" w:rsidRDefault="00277DAD" w:rsidP="00D8241E">
      <w:pPr>
        <w:jc w:val="right"/>
        <w:rPr>
          <w:rFonts w:ascii="Verdana" w:hAnsi="Verdana"/>
          <w:color w:val="000080"/>
          <w:szCs w:val="22"/>
        </w:rPr>
      </w:pPr>
      <w:r>
        <w:rPr>
          <w:rFonts w:ascii="Verdana" w:hAnsi="Verdana"/>
          <w:noProof/>
          <w:color w:val="000080"/>
          <w:szCs w:val="22"/>
        </w:rPr>
        <w:drawing>
          <wp:inline distT="0" distB="0" distL="0" distR="0" wp14:anchorId="4D6EC0C8" wp14:editId="2CE6A348">
            <wp:extent cx="1013120" cy="1001864"/>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title3.tif"/>
                    <pic:cNvPicPr/>
                  </pic:nvPicPr>
                  <pic:blipFill>
                    <a:blip r:embed="rId10">
                      <a:extLst>
                        <a:ext uri="{28A0092B-C50C-407E-A947-70E740481C1C}">
                          <a14:useLocalDpi xmlns:a14="http://schemas.microsoft.com/office/drawing/2010/main" val="0"/>
                        </a:ext>
                      </a:extLst>
                    </a:blip>
                    <a:stretch>
                      <a:fillRect/>
                    </a:stretch>
                  </pic:blipFill>
                  <pic:spPr>
                    <a:xfrm>
                      <a:off x="0" y="0"/>
                      <a:ext cx="1016626" cy="1005331"/>
                    </a:xfrm>
                    <a:prstGeom prst="rect">
                      <a:avLst/>
                    </a:prstGeom>
                  </pic:spPr>
                </pic:pic>
              </a:graphicData>
            </a:graphic>
          </wp:inline>
        </w:drawing>
      </w:r>
    </w:p>
    <w:p w14:paraId="5CB1DB3D" w14:textId="77777777" w:rsidR="00D8241E" w:rsidRDefault="00D8241E" w:rsidP="00D8241E">
      <w:pPr>
        <w:jc w:val="right"/>
        <w:rPr>
          <w:rFonts w:ascii="Verdana" w:hAnsi="Verdana"/>
          <w:color w:val="000080"/>
          <w:szCs w:val="22"/>
        </w:rPr>
      </w:pPr>
    </w:p>
    <w:p w14:paraId="2E34A14E" w14:textId="77777777" w:rsidR="00D8241E" w:rsidRDefault="00D8241E" w:rsidP="00D8241E">
      <w:pPr>
        <w:jc w:val="right"/>
        <w:rPr>
          <w:rFonts w:ascii="Verdana" w:hAnsi="Verdana"/>
          <w:color w:val="000080"/>
          <w:szCs w:val="22"/>
        </w:rPr>
      </w:pPr>
    </w:p>
    <w:p w14:paraId="341D07A0" w14:textId="77777777" w:rsidR="00D8241E" w:rsidRPr="00C55418" w:rsidRDefault="00D8241E" w:rsidP="00D8241E">
      <w:pPr>
        <w:jc w:val="right"/>
        <w:rPr>
          <w:rFonts w:ascii="Franklin Gothic Demi" w:hAnsi="Franklin Gothic Demi"/>
          <w:color w:val="000080"/>
          <w:szCs w:val="22"/>
        </w:rPr>
      </w:pPr>
      <w:r w:rsidRPr="00C55418">
        <w:rPr>
          <w:rFonts w:ascii="Franklin Gothic Demi" w:hAnsi="Franklin Gothic Demi"/>
          <w:color w:val="000080"/>
          <w:szCs w:val="22"/>
        </w:rPr>
        <w:t>Prepared by:</w:t>
      </w:r>
    </w:p>
    <w:p w14:paraId="58BA5A3E" w14:textId="77777777" w:rsidR="00D8241E" w:rsidRDefault="00D8241E" w:rsidP="00D8241E">
      <w:pPr>
        <w:jc w:val="right"/>
      </w:pPr>
      <w:r>
        <w:rPr>
          <w:noProof/>
        </w:rPr>
        <w:drawing>
          <wp:inline distT="0" distB="0" distL="0" distR="0" wp14:anchorId="2712C6D7" wp14:editId="1662FD1A">
            <wp:extent cx="995711" cy="431769"/>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I_final_logo_high-re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95711" cy="431769"/>
                    </a:xfrm>
                    <a:prstGeom prst="rect">
                      <a:avLst/>
                    </a:prstGeom>
                    <a:noFill/>
                    <a:ln>
                      <a:noFill/>
                    </a:ln>
                  </pic:spPr>
                </pic:pic>
              </a:graphicData>
            </a:graphic>
          </wp:inline>
        </w:drawing>
      </w:r>
    </w:p>
    <w:p w14:paraId="0024E38E" w14:textId="77777777" w:rsidR="00D8241E" w:rsidRPr="00C55418" w:rsidRDefault="00D8241E" w:rsidP="00277DAD">
      <w:pPr>
        <w:spacing w:line="240" w:lineRule="auto"/>
        <w:jc w:val="right"/>
        <w:rPr>
          <w:rFonts w:ascii="Verdana" w:hAnsi="Verdana"/>
          <w:color w:val="000080"/>
          <w:sz w:val="16"/>
          <w:szCs w:val="16"/>
        </w:rPr>
      </w:pPr>
      <w:r w:rsidRPr="00C55418">
        <w:rPr>
          <w:rFonts w:ascii="Verdana" w:hAnsi="Verdana"/>
          <w:color w:val="000080"/>
          <w:sz w:val="16"/>
          <w:szCs w:val="16"/>
        </w:rPr>
        <w:t>23692 Birtcher Drive</w:t>
      </w:r>
    </w:p>
    <w:p w14:paraId="223A68B3" w14:textId="77777777" w:rsidR="00D8241E" w:rsidRPr="00C55418" w:rsidRDefault="00277DAD" w:rsidP="00277DAD">
      <w:pPr>
        <w:spacing w:line="240" w:lineRule="auto"/>
        <w:jc w:val="right"/>
        <w:rPr>
          <w:rFonts w:ascii="Verdana" w:hAnsi="Verdana"/>
          <w:color w:val="000080"/>
          <w:sz w:val="16"/>
          <w:szCs w:val="16"/>
        </w:rPr>
      </w:pPr>
      <w:r>
        <w:rPr>
          <w:rFonts w:ascii="Verdana" w:hAnsi="Verdana"/>
          <w:color w:val="000080"/>
          <w:sz w:val="16"/>
          <w:szCs w:val="16"/>
        </w:rPr>
        <w:t xml:space="preserve">Lake Forest, California </w:t>
      </w:r>
      <w:r w:rsidR="00D8241E" w:rsidRPr="00C55418">
        <w:rPr>
          <w:rFonts w:ascii="Verdana" w:hAnsi="Verdana"/>
          <w:color w:val="000080"/>
          <w:sz w:val="16"/>
          <w:szCs w:val="16"/>
        </w:rPr>
        <w:t>92630</w:t>
      </w:r>
    </w:p>
    <w:p w14:paraId="35CF51A7" w14:textId="77777777" w:rsidR="00D8241E" w:rsidRPr="00C55418" w:rsidRDefault="00D8241E" w:rsidP="00277DAD">
      <w:pPr>
        <w:spacing w:line="240" w:lineRule="auto"/>
        <w:jc w:val="right"/>
        <w:rPr>
          <w:rFonts w:ascii="Verdana" w:hAnsi="Verdana"/>
          <w:color w:val="000080"/>
          <w:sz w:val="16"/>
          <w:szCs w:val="16"/>
        </w:rPr>
      </w:pPr>
      <w:r w:rsidRPr="00C55418">
        <w:rPr>
          <w:rFonts w:ascii="Verdana" w:hAnsi="Verdana"/>
          <w:color w:val="000080"/>
          <w:sz w:val="16"/>
          <w:szCs w:val="16"/>
        </w:rPr>
        <w:t>Tel: 949.420.3030 Fax: 949.420.4040</w:t>
      </w:r>
    </w:p>
    <w:p w14:paraId="6D7C457D" w14:textId="77777777" w:rsidR="00D8241E" w:rsidRPr="00C55418" w:rsidRDefault="00D8241E" w:rsidP="00277DAD">
      <w:pPr>
        <w:spacing w:line="240" w:lineRule="auto"/>
        <w:jc w:val="right"/>
        <w:rPr>
          <w:rFonts w:ascii="Verdana" w:hAnsi="Verdana"/>
          <w:color w:val="000080"/>
          <w:sz w:val="16"/>
          <w:szCs w:val="16"/>
        </w:rPr>
      </w:pPr>
      <w:r w:rsidRPr="00C55418">
        <w:rPr>
          <w:rFonts w:ascii="Verdana" w:hAnsi="Verdana"/>
          <w:color w:val="000080"/>
          <w:sz w:val="16"/>
          <w:szCs w:val="16"/>
        </w:rPr>
        <w:t>www.wildermuthenvironmental.com</w:t>
      </w:r>
    </w:p>
    <w:p w14:paraId="5382B3BC" w14:textId="77777777" w:rsidR="00D8241E" w:rsidRPr="00D8241E" w:rsidRDefault="00D8241E" w:rsidP="00277DAD">
      <w:pPr>
        <w:spacing w:line="240" w:lineRule="auto"/>
        <w:sectPr w:rsidR="00D8241E" w:rsidRPr="00D8241E" w:rsidSect="00D8241E">
          <w:headerReference w:type="default" r:id="rId12"/>
          <w:footerReference w:type="default" r:id="rId13"/>
          <w:headerReference w:type="first" r:id="rId14"/>
          <w:footerReference w:type="first" r:id="rId15"/>
          <w:pgSz w:w="12240" w:h="15840" w:code="1"/>
          <w:pgMar w:top="1138" w:right="1728" w:bottom="1440" w:left="1728" w:header="864" w:footer="864" w:gutter="0"/>
          <w:pgNumType w:fmt="lowerRoman" w:start="1"/>
          <w:cols w:space="720"/>
          <w:docGrid w:linePitch="299"/>
        </w:sectPr>
      </w:pPr>
    </w:p>
    <w:p w14:paraId="1016E729" w14:textId="77777777" w:rsidR="00E57F58" w:rsidRDefault="00E74FB6">
      <w:pPr>
        <w:pStyle w:val="TOC1"/>
        <w:rPr>
          <w:rFonts w:asciiTheme="minorHAnsi" w:eastAsiaTheme="minorEastAsia" w:hAnsiTheme="minorHAnsi" w:cstheme="minorBidi"/>
          <w:noProof/>
          <w:color w:val="auto"/>
          <w:sz w:val="22"/>
          <w:szCs w:val="22"/>
        </w:rPr>
      </w:pPr>
      <w:r w:rsidRPr="009612EF">
        <w:rPr>
          <w:rFonts w:asciiTheme="majorHAnsi" w:hAnsiTheme="majorHAnsi"/>
          <w:color w:val="170000"/>
          <w:sz w:val="22"/>
          <w:szCs w:val="22"/>
        </w:rPr>
        <w:lastRenderedPageBreak/>
        <w:fldChar w:fldCharType="begin"/>
      </w:r>
      <w:r w:rsidRPr="009612EF">
        <w:rPr>
          <w:rFonts w:asciiTheme="majorHAnsi" w:hAnsiTheme="majorHAnsi"/>
          <w:color w:val="170000"/>
          <w:sz w:val="22"/>
          <w:szCs w:val="22"/>
        </w:rPr>
        <w:instrText xml:space="preserve"> TOC \o "1-5" </w:instrText>
      </w:r>
      <w:r w:rsidRPr="009612EF">
        <w:rPr>
          <w:rFonts w:asciiTheme="majorHAnsi" w:hAnsiTheme="majorHAnsi"/>
          <w:color w:val="170000"/>
          <w:sz w:val="22"/>
          <w:szCs w:val="22"/>
        </w:rPr>
        <w:fldChar w:fldCharType="separate"/>
      </w:r>
      <w:r w:rsidR="00E57F58" w:rsidRPr="0042754F">
        <w:rPr>
          <w:noProof/>
        </w:rPr>
        <w:t>Section 1</w:t>
      </w:r>
      <w:r w:rsidR="00E57F58">
        <w:rPr>
          <w:noProof/>
        </w:rPr>
        <w:t xml:space="preserve"> – Introduction</w:t>
      </w:r>
      <w:r w:rsidR="00E57F58">
        <w:rPr>
          <w:noProof/>
        </w:rPr>
        <w:tab/>
      </w:r>
      <w:r w:rsidR="00E57F58">
        <w:rPr>
          <w:noProof/>
        </w:rPr>
        <w:fldChar w:fldCharType="begin"/>
      </w:r>
      <w:r w:rsidR="00E57F58">
        <w:rPr>
          <w:noProof/>
        </w:rPr>
        <w:instrText xml:space="preserve"> PAGEREF _Toc427921403 \h </w:instrText>
      </w:r>
      <w:r w:rsidR="00E57F58">
        <w:rPr>
          <w:noProof/>
        </w:rPr>
      </w:r>
      <w:r w:rsidR="00E57F58">
        <w:rPr>
          <w:noProof/>
        </w:rPr>
        <w:fldChar w:fldCharType="separate"/>
      </w:r>
      <w:r w:rsidR="00E57F58">
        <w:rPr>
          <w:noProof/>
        </w:rPr>
        <w:t>1-1</w:t>
      </w:r>
      <w:r w:rsidR="00E57F58">
        <w:rPr>
          <w:noProof/>
        </w:rPr>
        <w:fldChar w:fldCharType="end"/>
      </w:r>
    </w:p>
    <w:p w14:paraId="59AEC611" w14:textId="77777777" w:rsidR="00E57F58" w:rsidRDefault="00E57F58">
      <w:pPr>
        <w:pStyle w:val="TOC2"/>
        <w:rPr>
          <w:rFonts w:asciiTheme="minorHAnsi" w:eastAsiaTheme="minorEastAsia" w:hAnsiTheme="minorHAnsi" w:cstheme="minorBidi"/>
          <w:noProof/>
          <w:color w:val="auto"/>
          <w:sz w:val="22"/>
          <w:szCs w:val="22"/>
        </w:rPr>
      </w:pPr>
      <w:r>
        <w:rPr>
          <w:noProof/>
        </w:rPr>
        <w:t>1.1</w:t>
      </w:r>
      <w:r>
        <w:rPr>
          <w:rFonts w:asciiTheme="minorHAnsi" w:eastAsiaTheme="minorEastAsia" w:hAnsiTheme="minorHAnsi" w:cstheme="minorBidi"/>
          <w:noProof/>
          <w:color w:val="auto"/>
          <w:sz w:val="22"/>
          <w:szCs w:val="22"/>
        </w:rPr>
        <w:tab/>
      </w:r>
      <w:r>
        <w:rPr>
          <w:noProof/>
        </w:rPr>
        <w:t>Background and Objectives</w:t>
      </w:r>
      <w:r>
        <w:rPr>
          <w:noProof/>
        </w:rPr>
        <w:tab/>
      </w:r>
      <w:r>
        <w:rPr>
          <w:noProof/>
        </w:rPr>
        <w:fldChar w:fldCharType="begin"/>
      </w:r>
      <w:r>
        <w:rPr>
          <w:noProof/>
        </w:rPr>
        <w:instrText xml:space="preserve"> PAGEREF _Toc427921404 \h </w:instrText>
      </w:r>
      <w:r>
        <w:rPr>
          <w:noProof/>
        </w:rPr>
      </w:r>
      <w:r>
        <w:rPr>
          <w:noProof/>
        </w:rPr>
        <w:fldChar w:fldCharType="separate"/>
      </w:r>
      <w:r>
        <w:rPr>
          <w:noProof/>
        </w:rPr>
        <w:t>1-1</w:t>
      </w:r>
      <w:r>
        <w:rPr>
          <w:noProof/>
        </w:rPr>
        <w:fldChar w:fldCharType="end"/>
      </w:r>
    </w:p>
    <w:p w14:paraId="20F16088" w14:textId="77777777" w:rsidR="00E57F58" w:rsidRDefault="00E57F58">
      <w:pPr>
        <w:pStyle w:val="TOC2"/>
        <w:rPr>
          <w:rFonts w:asciiTheme="minorHAnsi" w:eastAsiaTheme="minorEastAsia" w:hAnsiTheme="minorHAnsi" w:cstheme="minorBidi"/>
          <w:noProof/>
          <w:color w:val="auto"/>
          <w:sz w:val="22"/>
          <w:szCs w:val="22"/>
        </w:rPr>
      </w:pPr>
      <w:r>
        <w:rPr>
          <w:noProof/>
        </w:rPr>
        <w:t>1.2</w:t>
      </w:r>
      <w:r>
        <w:rPr>
          <w:rFonts w:asciiTheme="minorHAnsi" w:eastAsiaTheme="minorEastAsia" w:hAnsiTheme="minorHAnsi" w:cstheme="minorBidi"/>
          <w:noProof/>
          <w:color w:val="auto"/>
          <w:sz w:val="22"/>
          <w:szCs w:val="22"/>
        </w:rPr>
        <w:tab/>
      </w:r>
      <w:r>
        <w:rPr>
          <w:noProof/>
        </w:rPr>
        <w:t>Report Organization</w:t>
      </w:r>
      <w:r>
        <w:rPr>
          <w:noProof/>
        </w:rPr>
        <w:tab/>
      </w:r>
      <w:r>
        <w:rPr>
          <w:noProof/>
        </w:rPr>
        <w:fldChar w:fldCharType="begin"/>
      </w:r>
      <w:r>
        <w:rPr>
          <w:noProof/>
        </w:rPr>
        <w:instrText xml:space="preserve"> PAGEREF _Toc427921405 \h </w:instrText>
      </w:r>
      <w:r>
        <w:rPr>
          <w:noProof/>
        </w:rPr>
      </w:r>
      <w:r>
        <w:rPr>
          <w:noProof/>
        </w:rPr>
        <w:fldChar w:fldCharType="separate"/>
      </w:r>
      <w:r>
        <w:rPr>
          <w:noProof/>
        </w:rPr>
        <w:t>1-3</w:t>
      </w:r>
      <w:r>
        <w:rPr>
          <w:noProof/>
        </w:rPr>
        <w:fldChar w:fldCharType="end"/>
      </w:r>
    </w:p>
    <w:p w14:paraId="6710F987" w14:textId="77777777" w:rsidR="00E57F58" w:rsidRDefault="00E57F58">
      <w:pPr>
        <w:pStyle w:val="TOC1"/>
        <w:rPr>
          <w:rFonts w:asciiTheme="minorHAnsi" w:eastAsiaTheme="minorEastAsia" w:hAnsiTheme="minorHAnsi" w:cstheme="minorBidi"/>
          <w:noProof/>
          <w:color w:val="auto"/>
          <w:sz w:val="22"/>
          <w:szCs w:val="22"/>
        </w:rPr>
      </w:pPr>
      <w:r w:rsidRPr="0042754F">
        <w:rPr>
          <w:noProof/>
        </w:rPr>
        <w:t>Section 2</w:t>
      </w:r>
      <w:r>
        <w:rPr>
          <w:noProof/>
        </w:rPr>
        <w:t xml:space="preserve"> – Surface-Water Hydrology</w:t>
      </w:r>
      <w:r>
        <w:rPr>
          <w:noProof/>
        </w:rPr>
        <w:tab/>
      </w:r>
      <w:r>
        <w:rPr>
          <w:noProof/>
        </w:rPr>
        <w:fldChar w:fldCharType="begin"/>
      </w:r>
      <w:r>
        <w:rPr>
          <w:noProof/>
        </w:rPr>
        <w:instrText xml:space="preserve"> PAGEREF _Toc427921406 \h </w:instrText>
      </w:r>
      <w:r>
        <w:rPr>
          <w:noProof/>
        </w:rPr>
      </w:r>
      <w:r>
        <w:rPr>
          <w:noProof/>
        </w:rPr>
        <w:fldChar w:fldCharType="separate"/>
      </w:r>
      <w:r>
        <w:rPr>
          <w:noProof/>
        </w:rPr>
        <w:t>2-1</w:t>
      </w:r>
      <w:r>
        <w:rPr>
          <w:noProof/>
        </w:rPr>
        <w:fldChar w:fldCharType="end"/>
      </w:r>
    </w:p>
    <w:p w14:paraId="11418BC2" w14:textId="77777777" w:rsidR="00E57F58" w:rsidRDefault="00E57F58">
      <w:pPr>
        <w:pStyle w:val="TOC2"/>
        <w:rPr>
          <w:rFonts w:asciiTheme="minorHAnsi" w:eastAsiaTheme="minorEastAsia" w:hAnsiTheme="minorHAnsi" w:cstheme="minorBidi"/>
          <w:noProof/>
          <w:color w:val="auto"/>
          <w:sz w:val="22"/>
          <w:szCs w:val="22"/>
        </w:rPr>
      </w:pPr>
      <w:r>
        <w:rPr>
          <w:noProof/>
        </w:rPr>
        <w:t>2.1</w:t>
      </w:r>
      <w:r>
        <w:rPr>
          <w:rFonts w:asciiTheme="minorHAnsi" w:eastAsiaTheme="minorEastAsia" w:hAnsiTheme="minorHAnsi" w:cstheme="minorBidi"/>
          <w:noProof/>
          <w:color w:val="auto"/>
          <w:sz w:val="22"/>
          <w:szCs w:val="22"/>
        </w:rPr>
        <w:tab/>
      </w:r>
      <w:r>
        <w:rPr>
          <w:noProof/>
        </w:rPr>
        <w:t>Data Sources</w:t>
      </w:r>
      <w:r>
        <w:rPr>
          <w:noProof/>
        </w:rPr>
        <w:tab/>
      </w:r>
      <w:r>
        <w:rPr>
          <w:noProof/>
        </w:rPr>
        <w:fldChar w:fldCharType="begin"/>
      </w:r>
      <w:r>
        <w:rPr>
          <w:noProof/>
        </w:rPr>
        <w:instrText xml:space="preserve"> PAGEREF _Toc427921407 \h </w:instrText>
      </w:r>
      <w:r>
        <w:rPr>
          <w:noProof/>
        </w:rPr>
      </w:r>
      <w:r>
        <w:rPr>
          <w:noProof/>
        </w:rPr>
        <w:fldChar w:fldCharType="separate"/>
      </w:r>
      <w:r>
        <w:rPr>
          <w:noProof/>
        </w:rPr>
        <w:t>2-1</w:t>
      </w:r>
      <w:r>
        <w:rPr>
          <w:noProof/>
        </w:rPr>
        <w:fldChar w:fldCharType="end"/>
      </w:r>
    </w:p>
    <w:p w14:paraId="1A9B518B" w14:textId="77777777" w:rsidR="00E57F58" w:rsidRDefault="00E57F58">
      <w:pPr>
        <w:pStyle w:val="TOC2"/>
        <w:rPr>
          <w:rFonts w:asciiTheme="minorHAnsi" w:eastAsiaTheme="minorEastAsia" w:hAnsiTheme="minorHAnsi" w:cstheme="minorBidi"/>
          <w:noProof/>
          <w:color w:val="auto"/>
          <w:sz w:val="22"/>
          <w:szCs w:val="22"/>
        </w:rPr>
      </w:pPr>
      <w:r>
        <w:rPr>
          <w:noProof/>
        </w:rPr>
        <w:t>2.2</w:t>
      </w:r>
      <w:r>
        <w:rPr>
          <w:rFonts w:asciiTheme="minorHAnsi" w:eastAsiaTheme="minorEastAsia" w:hAnsiTheme="minorHAnsi" w:cstheme="minorBidi"/>
          <w:noProof/>
          <w:color w:val="auto"/>
          <w:sz w:val="22"/>
          <w:szCs w:val="22"/>
        </w:rPr>
        <w:tab/>
      </w:r>
      <w:r>
        <w:rPr>
          <w:noProof/>
        </w:rPr>
        <w:t>Precipitation</w:t>
      </w:r>
      <w:r>
        <w:rPr>
          <w:noProof/>
        </w:rPr>
        <w:tab/>
      </w:r>
      <w:r>
        <w:rPr>
          <w:noProof/>
        </w:rPr>
        <w:fldChar w:fldCharType="begin"/>
      </w:r>
      <w:r>
        <w:rPr>
          <w:noProof/>
        </w:rPr>
        <w:instrText xml:space="preserve"> PAGEREF _Toc427921408 \h </w:instrText>
      </w:r>
      <w:r>
        <w:rPr>
          <w:noProof/>
        </w:rPr>
      </w:r>
      <w:r>
        <w:rPr>
          <w:noProof/>
        </w:rPr>
        <w:fldChar w:fldCharType="separate"/>
      </w:r>
      <w:r>
        <w:rPr>
          <w:noProof/>
        </w:rPr>
        <w:t>2-1</w:t>
      </w:r>
      <w:r>
        <w:rPr>
          <w:noProof/>
        </w:rPr>
        <w:fldChar w:fldCharType="end"/>
      </w:r>
    </w:p>
    <w:p w14:paraId="53940096" w14:textId="77777777" w:rsidR="00E57F58" w:rsidRDefault="00E57F58">
      <w:pPr>
        <w:pStyle w:val="TOC2"/>
        <w:rPr>
          <w:rFonts w:asciiTheme="minorHAnsi" w:eastAsiaTheme="minorEastAsia" w:hAnsiTheme="minorHAnsi" w:cstheme="minorBidi"/>
          <w:noProof/>
          <w:color w:val="auto"/>
          <w:sz w:val="22"/>
          <w:szCs w:val="22"/>
        </w:rPr>
      </w:pPr>
      <w:r>
        <w:rPr>
          <w:noProof/>
        </w:rPr>
        <w:t>2.3</w:t>
      </w:r>
      <w:r>
        <w:rPr>
          <w:rFonts w:asciiTheme="minorHAnsi" w:eastAsiaTheme="minorEastAsia" w:hAnsiTheme="minorHAnsi" w:cstheme="minorBidi"/>
          <w:noProof/>
          <w:color w:val="auto"/>
          <w:sz w:val="22"/>
          <w:szCs w:val="22"/>
        </w:rPr>
        <w:tab/>
      </w:r>
      <w:r>
        <w:rPr>
          <w:noProof/>
        </w:rPr>
        <w:t>Surface-Water Hydrology</w:t>
      </w:r>
      <w:r>
        <w:rPr>
          <w:noProof/>
        </w:rPr>
        <w:tab/>
      </w:r>
      <w:r>
        <w:rPr>
          <w:noProof/>
        </w:rPr>
        <w:fldChar w:fldCharType="begin"/>
      </w:r>
      <w:r>
        <w:rPr>
          <w:noProof/>
        </w:rPr>
        <w:instrText xml:space="preserve"> PAGEREF _Toc427921409 \h </w:instrText>
      </w:r>
      <w:r>
        <w:rPr>
          <w:noProof/>
        </w:rPr>
      </w:r>
      <w:r>
        <w:rPr>
          <w:noProof/>
        </w:rPr>
        <w:fldChar w:fldCharType="separate"/>
      </w:r>
      <w:r>
        <w:rPr>
          <w:noProof/>
        </w:rPr>
        <w:t>2-3</w:t>
      </w:r>
      <w:r>
        <w:rPr>
          <w:noProof/>
        </w:rPr>
        <w:fldChar w:fldCharType="end"/>
      </w:r>
    </w:p>
    <w:p w14:paraId="6FE75215" w14:textId="77777777" w:rsidR="00E57F58" w:rsidRDefault="00E57F58">
      <w:pPr>
        <w:pStyle w:val="TOC3"/>
        <w:rPr>
          <w:rFonts w:asciiTheme="minorHAnsi" w:eastAsiaTheme="minorEastAsia" w:hAnsiTheme="minorHAnsi" w:cstheme="minorBidi"/>
          <w:noProof/>
          <w:color w:val="auto"/>
          <w:sz w:val="22"/>
          <w:szCs w:val="22"/>
        </w:rPr>
      </w:pPr>
      <w:r>
        <w:rPr>
          <w:noProof/>
        </w:rPr>
        <w:t>2.3.1</w:t>
      </w:r>
      <w:r>
        <w:rPr>
          <w:rFonts w:asciiTheme="minorHAnsi" w:eastAsiaTheme="minorEastAsia" w:hAnsiTheme="minorHAnsi" w:cstheme="minorBidi"/>
          <w:noProof/>
          <w:color w:val="auto"/>
          <w:sz w:val="22"/>
          <w:szCs w:val="22"/>
        </w:rPr>
        <w:tab/>
      </w:r>
      <w:r>
        <w:rPr>
          <w:noProof/>
        </w:rPr>
        <w:t>Recycled Water Discharge</w:t>
      </w:r>
      <w:r>
        <w:rPr>
          <w:noProof/>
        </w:rPr>
        <w:tab/>
      </w:r>
      <w:r>
        <w:rPr>
          <w:noProof/>
        </w:rPr>
        <w:fldChar w:fldCharType="begin"/>
      </w:r>
      <w:r>
        <w:rPr>
          <w:noProof/>
        </w:rPr>
        <w:instrText xml:space="preserve"> PAGEREF _Toc427921410 \h </w:instrText>
      </w:r>
      <w:r>
        <w:rPr>
          <w:noProof/>
        </w:rPr>
      </w:r>
      <w:r>
        <w:rPr>
          <w:noProof/>
        </w:rPr>
        <w:fldChar w:fldCharType="separate"/>
      </w:r>
      <w:r>
        <w:rPr>
          <w:noProof/>
        </w:rPr>
        <w:t>2-3</w:t>
      </w:r>
      <w:r>
        <w:rPr>
          <w:noProof/>
        </w:rPr>
        <w:fldChar w:fldCharType="end"/>
      </w:r>
    </w:p>
    <w:p w14:paraId="1844D66F" w14:textId="77777777" w:rsidR="00E57F58" w:rsidRDefault="00E57F58">
      <w:pPr>
        <w:pStyle w:val="TOC3"/>
        <w:rPr>
          <w:rFonts w:asciiTheme="minorHAnsi" w:eastAsiaTheme="minorEastAsia" w:hAnsiTheme="minorHAnsi" w:cstheme="minorBidi"/>
          <w:noProof/>
          <w:color w:val="auto"/>
          <w:sz w:val="22"/>
          <w:szCs w:val="22"/>
        </w:rPr>
      </w:pPr>
      <w:r>
        <w:rPr>
          <w:noProof/>
        </w:rPr>
        <w:t>2.3.2</w:t>
      </w:r>
      <w:r>
        <w:rPr>
          <w:rFonts w:asciiTheme="minorHAnsi" w:eastAsiaTheme="minorEastAsia" w:hAnsiTheme="minorHAnsi" w:cstheme="minorBidi"/>
          <w:noProof/>
          <w:color w:val="auto"/>
          <w:sz w:val="22"/>
          <w:szCs w:val="22"/>
        </w:rPr>
        <w:tab/>
      </w:r>
      <w:r>
        <w:rPr>
          <w:noProof/>
        </w:rPr>
        <w:t>Storm-Water Runoff</w:t>
      </w:r>
      <w:r>
        <w:rPr>
          <w:noProof/>
        </w:rPr>
        <w:tab/>
      </w:r>
      <w:r>
        <w:rPr>
          <w:noProof/>
        </w:rPr>
        <w:fldChar w:fldCharType="begin"/>
      </w:r>
      <w:r>
        <w:rPr>
          <w:noProof/>
        </w:rPr>
        <w:instrText xml:space="preserve"> PAGEREF _Toc427921411 \h </w:instrText>
      </w:r>
      <w:r>
        <w:rPr>
          <w:noProof/>
        </w:rPr>
      </w:r>
      <w:r>
        <w:rPr>
          <w:noProof/>
        </w:rPr>
        <w:fldChar w:fldCharType="separate"/>
      </w:r>
      <w:r>
        <w:rPr>
          <w:noProof/>
        </w:rPr>
        <w:t>2-4</w:t>
      </w:r>
      <w:r>
        <w:rPr>
          <w:noProof/>
        </w:rPr>
        <w:fldChar w:fldCharType="end"/>
      </w:r>
    </w:p>
    <w:p w14:paraId="23E31BE5" w14:textId="77777777" w:rsidR="00E57F58" w:rsidRDefault="00E57F58">
      <w:pPr>
        <w:pStyle w:val="TOC3"/>
        <w:rPr>
          <w:rFonts w:asciiTheme="minorHAnsi" w:eastAsiaTheme="minorEastAsia" w:hAnsiTheme="minorHAnsi" w:cstheme="minorBidi"/>
          <w:noProof/>
          <w:color w:val="auto"/>
          <w:sz w:val="22"/>
          <w:szCs w:val="22"/>
        </w:rPr>
      </w:pPr>
      <w:r>
        <w:rPr>
          <w:noProof/>
        </w:rPr>
        <w:t>2.3.3</w:t>
      </w:r>
      <w:r>
        <w:rPr>
          <w:rFonts w:asciiTheme="minorHAnsi" w:eastAsiaTheme="minorEastAsia" w:hAnsiTheme="minorHAnsi" w:cstheme="minorBidi"/>
          <w:noProof/>
          <w:color w:val="auto"/>
          <w:sz w:val="22"/>
          <w:szCs w:val="22"/>
        </w:rPr>
        <w:tab/>
      </w:r>
      <w:r>
        <w:rPr>
          <w:noProof/>
        </w:rPr>
        <w:t>Dry-Weather Runoff</w:t>
      </w:r>
      <w:r>
        <w:rPr>
          <w:noProof/>
        </w:rPr>
        <w:tab/>
      </w:r>
      <w:r>
        <w:rPr>
          <w:noProof/>
        </w:rPr>
        <w:fldChar w:fldCharType="begin"/>
      </w:r>
      <w:r>
        <w:rPr>
          <w:noProof/>
        </w:rPr>
        <w:instrText xml:space="preserve"> PAGEREF _Toc427921412 \h </w:instrText>
      </w:r>
      <w:r>
        <w:rPr>
          <w:noProof/>
        </w:rPr>
      </w:r>
      <w:r>
        <w:rPr>
          <w:noProof/>
        </w:rPr>
        <w:fldChar w:fldCharType="separate"/>
      </w:r>
      <w:r>
        <w:rPr>
          <w:noProof/>
        </w:rPr>
        <w:t>2-5</w:t>
      </w:r>
      <w:r>
        <w:rPr>
          <w:noProof/>
        </w:rPr>
        <w:fldChar w:fldCharType="end"/>
      </w:r>
    </w:p>
    <w:p w14:paraId="5AB1E32D" w14:textId="77777777" w:rsidR="00E57F58" w:rsidRDefault="00E57F58">
      <w:pPr>
        <w:pStyle w:val="TOC3"/>
        <w:rPr>
          <w:rFonts w:asciiTheme="minorHAnsi" w:eastAsiaTheme="minorEastAsia" w:hAnsiTheme="minorHAnsi" w:cstheme="minorBidi"/>
          <w:noProof/>
          <w:color w:val="auto"/>
          <w:sz w:val="22"/>
          <w:szCs w:val="22"/>
        </w:rPr>
      </w:pPr>
      <w:r>
        <w:rPr>
          <w:noProof/>
        </w:rPr>
        <w:t>2.3.4</w:t>
      </w:r>
      <w:r>
        <w:rPr>
          <w:rFonts w:asciiTheme="minorHAnsi" w:eastAsiaTheme="minorEastAsia" w:hAnsiTheme="minorHAnsi" w:cstheme="minorBidi"/>
          <w:noProof/>
          <w:color w:val="auto"/>
          <w:sz w:val="22"/>
          <w:szCs w:val="22"/>
        </w:rPr>
        <w:tab/>
      </w:r>
      <w:r>
        <w:rPr>
          <w:noProof/>
        </w:rPr>
        <w:t>Groundwater – Surface-water Interaction</w:t>
      </w:r>
      <w:r>
        <w:rPr>
          <w:noProof/>
        </w:rPr>
        <w:tab/>
      </w:r>
      <w:r>
        <w:rPr>
          <w:noProof/>
        </w:rPr>
        <w:fldChar w:fldCharType="begin"/>
      </w:r>
      <w:r>
        <w:rPr>
          <w:noProof/>
        </w:rPr>
        <w:instrText xml:space="preserve"> PAGEREF _Toc427921413 \h </w:instrText>
      </w:r>
      <w:r>
        <w:rPr>
          <w:noProof/>
        </w:rPr>
      </w:r>
      <w:r>
        <w:rPr>
          <w:noProof/>
        </w:rPr>
        <w:fldChar w:fldCharType="separate"/>
      </w:r>
      <w:r>
        <w:rPr>
          <w:noProof/>
        </w:rPr>
        <w:t>2-5</w:t>
      </w:r>
      <w:r>
        <w:rPr>
          <w:noProof/>
        </w:rPr>
        <w:fldChar w:fldCharType="end"/>
      </w:r>
    </w:p>
    <w:p w14:paraId="75651E05" w14:textId="77777777" w:rsidR="00E57F58" w:rsidRDefault="00E57F58">
      <w:pPr>
        <w:pStyle w:val="TOC1"/>
        <w:rPr>
          <w:rFonts w:asciiTheme="minorHAnsi" w:eastAsiaTheme="minorEastAsia" w:hAnsiTheme="minorHAnsi" w:cstheme="minorBidi"/>
          <w:noProof/>
          <w:color w:val="auto"/>
          <w:sz w:val="22"/>
          <w:szCs w:val="22"/>
        </w:rPr>
      </w:pPr>
      <w:r w:rsidRPr="0042754F">
        <w:rPr>
          <w:noProof/>
        </w:rPr>
        <w:t>Section 3</w:t>
      </w:r>
      <w:r>
        <w:rPr>
          <w:noProof/>
        </w:rPr>
        <w:t xml:space="preserve"> –Hydrogeology</w:t>
      </w:r>
      <w:r>
        <w:rPr>
          <w:noProof/>
        </w:rPr>
        <w:tab/>
      </w:r>
      <w:r>
        <w:rPr>
          <w:noProof/>
        </w:rPr>
        <w:fldChar w:fldCharType="begin"/>
      </w:r>
      <w:r>
        <w:rPr>
          <w:noProof/>
        </w:rPr>
        <w:instrText xml:space="preserve"> PAGEREF _Toc427921414 \h </w:instrText>
      </w:r>
      <w:r>
        <w:rPr>
          <w:noProof/>
        </w:rPr>
      </w:r>
      <w:r>
        <w:rPr>
          <w:noProof/>
        </w:rPr>
        <w:fldChar w:fldCharType="separate"/>
      </w:r>
      <w:r>
        <w:rPr>
          <w:noProof/>
        </w:rPr>
        <w:t>3-1</w:t>
      </w:r>
      <w:r>
        <w:rPr>
          <w:noProof/>
        </w:rPr>
        <w:fldChar w:fldCharType="end"/>
      </w:r>
    </w:p>
    <w:p w14:paraId="433D9C81" w14:textId="77777777" w:rsidR="00E57F58" w:rsidRDefault="00E57F58">
      <w:pPr>
        <w:pStyle w:val="TOC2"/>
        <w:rPr>
          <w:rFonts w:asciiTheme="minorHAnsi" w:eastAsiaTheme="minorEastAsia" w:hAnsiTheme="minorHAnsi" w:cstheme="minorBidi"/>
          <w:noProof/>
          <w:color w:val="auto"/>
          <w:sz w:val="22"/>
          <w:szCs w:val="22"/>
        </w:rPr>
      </w:pPr>
      <w:r>
        <w:rPr>
          <w:noProof/>
        </w:rPr>
        <w:t>3.1</w:t>
      </w:r>
      <w:r>
        <w:rPr>
          <w:rFonts w:asciiTheme="minorHAnsi" w:eastAsiaTheme="minorEastAsia" w:hAnsiTheme="minorHAnsi" w:cstheme="minorBidi"/>
          <w:noProof/>
          <w:color w:val="auto"/>
          <w:sz w:val="22"/>
          <w:szCs w:val="22"/>
        </w:rPr>
        <w:tab/>
      </w:r>
      <w:r>
        <w:rPr>
          <w:noProof/>
        </w:rPr>
        <w:t>Geologic Setting</w:t>
      </w:r>
      <w:r>
        <w:rPr>
          <w:noProof/>
        </w:rPr>
        <w:tab/>
      </w:r>
      <w:r>
        <w:rPr>
          <w:noProof/>
        </w:rPr>
        <w:fldChar w:fldCharType="begin"/>
      </w:r>
      <w:r>
        <w:rPr>
          <w:noProof/>
        </w:rPr>
        <w:instrText xml:space="preserve"> PAGEREF _Toc427921415 \h </w:instrText>
      </w:r>
      <w:r>
        <w:rPr>
          <w:noProof/>
        </w:rPr>
      </w:r>
      <w:r>
        <w:rPr>
          <w:noProof/>
        </w:rPr>
        <w:fldChar w:fldCharType="separate"/>
      </w:r>
      <w:r>
        <w:rPr>
          <w:noProof/>
        </w:rPr>
        <w:t>3-1</w:t>
      </w:r>
      <w:r>
        <w:rPr>
          <w:noProof/>
        </w:rPr>
        <w:fldChar w:fldCharType="end"/>
      </w:r>
    </w:p>
    <w:p w14:paraId="2DA9CFEA" w14:textId="77777777" w:rsidR="00E57F58" w:rsidRDefault="00E57F58">
      <w:pPr>
        <w:pStyle w:val="TOC2"/>
        <w:rPr>
          <w:rFonts w:asciiTheme="minorHAnsi" w:eastAsiaTheme="minorEastAsia" w:hAnsiTheme="minorHAnsi" w:cstheme="minorBidi"/>
          <w:noProof/>
          <w:color w:val="auto"/>
          <w:sz w:val="22"/>
          <w:szCs w:val="22"/>
        </w:rPr>
      </w:pPr>
      <w:r>
        <w:rPr>
          <w:noProof/>
        </w:rPr>
        <w:t>3.2</w:t>
      </w:r>
      <w:r>
        <w:rPr>
          <w:rFonts w:asciiTheme="minorHAnsi" w:eastAsiaTheme="minorEastAsia" w:hAnsiTheme="minorHAnsi" w:cstheme="minorBidi"/>
          <w:noProof/>
          <w:color w:val="auto"/>
          <w:sz w:val="22"/>
          <w:szCs w:val="22"/>
        </w:rPr>
        <w:tab/>
      </w:r>
      <w:r>
        <w:rPr>
          <w:noProof/>
        </w:rPr>
        <w:t>Stratigraphy</w:t>
      </w:r>
      <w:r>
        <w:rPr>
          <w:noProof/>
        </w:rPr>
        <w:tab/>
      </w:r>
      <w:r>
        <w:rPr>
          <w:noProof/>
        </w:rPr>
        <w:fldChar w:fldCharType="begin"/>
      </w:r>
      <w:r>
        <w:rPr>
          <w:noProof/>
        </w:rPr>
        <w:instrText xml:space="preserve"> PAGEREF _Toc427921416 \h </w:instrText>
      </w:r>
      <w:r>
        <w:rPr>
          <w:noProof/>
        </w:rPr>
      </w:r>
      <w:r>
        <w:rPr>
          <w:noProof/>
        </w:rPr>
        <w:fldChar w:fldCharType="separate"/>
      </w:r>
      <w:r>
        <w:rPr>
          <w:noProof/>
        </w:rPr>
        <w:t>3-1</w:t>
      </w:r>
      <w:r>
        <w:rPr>
          <w:noProof/>
        </w:rPr>
        <w:fldChar w:fldCharType="end"/>
      </w:r>
    </w:p>
    <w:p w14:paraId="669A0FAF" w14:textId="77777777" w:rsidR="00E57F58" w:rsidRDefault="00E57F58">
      <w:pPr>
        <w:pStyle w:val="TOC3"/>
        <w:rPr>
          <w:rFonts w:asciiTheme="minorHAnsi" w:eastAsiaTheme="minorEastAsia" w:hAnsiTheme="minorHAnsi" w:cstheme="minorBidi"/>
          <w:noProof/>
          <w:color w:val="auto"/>
          <w:sz w:val="22"/>
          <w:szCs w:val="22"/>
        </w:rPr>
      </w:pPr>
      <w:r>
        <w:rPr>
          <w:noProof/>
        </w:rPr>
        <w:t>3.2.1</w:t>
      </w:r>
      <w:r>
        <w:rPr>
          <w:rFonts w:asciiTheme="minorHAnsi" w:eastAsiaTheme="minorEastAsia" w:hAnsiTheme="minorHAnsi" w:cstheme="minorBidi"/>
          <w:noProof/>
          <w:color w:val="auto"/>
          <w:sz w:val="22"/>
          <w:szCs w:val="22"/>
        </w:rPr>
        <w:tab/>
      </w:r>
      <w:r>
        <w:rPr>
          <w:noProof/>
        </w:rPr>
        <w:t>Consolidated Bedrock</w:t>
      </w:r>
      <w:r>
        <w:rPr>
          <w:noProof/>
        </w:rPr>
        <w:tab/>
      </w:r>
      <w:r>
        <w:rPr>
          <w:noProof/>
        </w:rPr>
        <w:fldChar w:fldCharType="begin"/>
      </w:r>
      <w:r>
        <w:rPr>
          <w:noProof/>
        </w:rPr>
        <w:instrText xml:space="preserve"> PAGEREF _Toc427921417 \h </w:instrText>
      </w:r>
      <w:r>
        <w:rPr>
          <w:noProof/>
        </w:rPr>
      </w:r>
      <w:r>
        <w:rPr>
          <w:noProof/>
        </w:rPr>
        <w:fldChar w:fldCharType="separate"/>
      </w:r>
      <w:r>
        <w:rPr>
          <w:noProof/>
        </w:rPr>
        <w:t>3-1</w:t>
      </w:r>
      <w:r>
        <w:rPr>
          <w:noProof/>
        </w:rPr>
        <w:fldChar w:fldCharType="end"/>
      </w:r>
    </w:p>
    <w:p w14:paraId="3F5897F2" w14:textId="77777777" w:rsidR="00E57F58" w:rsidRDefault="00E57F58">
      <w:pPr>
        <w:pStyle w:val="TOC3"/>
        <w:rPr>
          <w:rFonts w:asciiTheme="minorHAnsi" w:eastAsiaTheme="minorEastAsia" w:hAnsiTheme="minorHAnsi" w:cstheme="minorBidi"/>
          <w:noProof/>
          <w:color w:val="auto"/>
          <w:sz w:val="22"/>
          <w:szCs w:val="22"/>
        </w:rPr>
      </w:pPr>
      <w:r>
        <w:rPr>
          <w:noProof/>
        </w:rPr>
        <w:t>3.2.2</w:t>
      </w:r>
      <w:r>
        <w:rPr>
          <w:rFonts w:asciiTheme="minorHAnsi" w:eastAsiaTheme="minorEastAsia" w:hAnsiTheme="minorHAnsi" w:cstheme="minorBidi"/>
          <w:noProof/>
          <w:color w:val="auto"/>
          <w:sz w:val="22"/>
          <w:szCs w:val="22"/>
        </w:rPr>
        <w:tab/>
      </w:r>
      <w:r>
        <w:rPr>
          <w:noProof/>
        </w:rPr>
        <w:t>Water-Bearing Sediments</w:t>
      </w:r>
      <w:r>
        <w:rPr>
          <w:noProof/>
        </w:rPr>
        <w:tab/>
      </w:r>
      <w:r>
        <w:rPr>
          <w:noProof/>
        </w:rPr>
        <w:fldChar w:fldCharType="begin"/>
      </w:r>
      <w:r>
        <w:rPr>
          <w:noProof/>
        </w:rPr>
        <w:instrText xml:space="preserve"> PAGEREF _Toc427921418 \h </w:instrText>
      </w:r>
      <w:r>
        <w:rPr>
          <w:noProof/>
        </w:rPr>
      </w:r>
      <w:r>
        <w:rPr>
          <w:noProof/>
        </w:rPr>
        <w:fldChar w:fldCharType="separate"/>
      </w:r>
      <w:r>
        <w:rPr>
          <w:noProof/>
        </w:rPr>
        <w:t>3-2</w:t>
      </w:r>
      <w:r>
        <w:rPr>
          <w:noProof/>
        </w:rPr>
        <w:fldChar w:fldCharType="end"/>
      </w:r>
    </w:p>
    <w:p w14:paraId="44CA03EB" w14:textId="77777777" w:rsidR="00E57F58" w:rsidRDefault="00E57F58">
      <w:pPr>
        <w:pStyle w:val="TOC2"/>
        <w:rPr>
          <w:rFonts w:asciiTheme="minorHAnsi" w:eastAsiaTheme="minorEastAsia" w:hAnsiTheme="minorHAnsi" w:cstheme="minorBidi"/>
          <w:noProof/>
          <w:color w:val="auto"/>
          <w:sz w:val="22"/>
          <w:szCs w:val="22"/>
        </w:rPr>
      </w:pPr>
      <w:r>
        <w:rPr>
          <w:noProof/>
        </w:rPr>
        <w:t>3.3</w:t>
      </w:r>
      <w:r>
        <w:rPr>
          <w:rFonts w:asciiTheme="minorHAnsi" w:eastAsiaTheme="minorEastAsia" w:hAnsiTheme="minorHAnsi" w:cstheme="minorBidi"/>
          <w:noProof/>
          <w:color w:val="auto"/>
          <w:sz w:val="22"/>
          <w:szCs w:val="22"/>
        </w:rPr>
        <w:tab/>
      </w:r>
      <w:r>
        <w:rPr>
          <w:noProof/>
        </w:rPr>
        <w:t>Occurrence and Movement of Groundwater</w:t>
      </w:r>
      <w:r>
        <w:rPr>
          <w:noProof/>
        </w:rPr>
        <w:tab/>
      </w:r>
      <w:r>
        <w:rPr>
          <w:noProof/>
        </w:rPr>
        <w:fldChar w:fldCharType="begin"/>
      </w:r>
      <w:r>
        <w:rPr>
          <w:noProof/>
        </w:rPr>
        <w:instrText xml:space="preserve"> PAGEREF _Toc427921419 \h </w:instrText>
      </w:r>
      <w:r>
        <w:rPr>
          <w:noProof/>
        </w:rPr>
      </w:r>
      <w:r>
        <w:rPr>
          <w:noProof/>
        </w:rPr>
        <w:fldChar w:fldCharType="separate"/>
      </w:r>
      <w:r>
        <w:rPr>
          <w:noProof/>
        </w:rPr>
        <w:t>3-2</w:t>
      </w:r>
      <w:r>
        <w:rPr>
          <w:noProof/>
        </w:rPr>
        <w:fldChar w:fldCharType="end"/>
      </w:r>
    </w:p>
    <w:p w14:paraId="15052285" w14:textId="77777777" w:rsidR="00E57F58" w:rsidRDefault="00E57F58">
      <w:pPr>
        <w:pStyle w:val="TOC3"/>
        <w:rPr>
          <w:rFonts w:asciiTheme="minorHAnsi" w:eastAsiaTheme="minorEastAsia" w:hAnsiTheme="minorHAnsi" w:cstheme="minorBidi"/>
          <w:noProof/>
          <w:color w:val="auto"/>
          <w:sz w:val="22"/>
          <w:szCs w:val="22"/>
        </w:rPr>
      </w:pPr>
      <w:r>
        <w:rPr>
          <w:noProof/>
        </w:rPr>
        <w:t>3.3.1</w:t>
      </w:r>
      <w:r>
        <w:rPr>
          <w:rFonts w:asciiTheme="minorHAnsi" w:eastAsiaTheme="minorEastAsia" w:hAnsiTheme="minorHAnsi" w:cstheme="minorBidi"/>
          <w:noProof/>
          <w:color w:val="auto"/>
          <w:sz w:val="22"/>
          <w:szCs w:val="22"/>
        </w:rPr>
        <w:tab/>
      </w:r>
      <w:r>
        <w:rPr>
          <w:noProof/>
        </w:rPr>
        <w:t>Basin Boundaries</w:t>
      </w:r>
      <w:r>
        <w:rPr>
          <w:noProof/>
        </w:rPr>
        <w:tab/>
      </w:r>
      <w:r>
        <w:rPr>
          <w:noProof/>
        </w:rPr>
        <w:fldChar w:fldCharType="begin"/>
      </w:r>
      <w:r>
        <w:rPr>
          <w:noProof/>
        </w:rPr>
        <w:instrText xml:space="preserve"> PAGEREF _Toc427921420 \h </w:instrText>
      </w:r>
      <w:r>
        <w:rPr>
          <w:noProof/>
        </w:rPr>
      </w:r>
      <w:r>
        <w:rPr>
          <w:noProof/>
        </w:rPr>
        <w:fldChar w:fldCharType="separate"/>
      </w:r>
      <w:r>
        <w:rPr>
          <w:noProof/>
        </w:rPr>
        <w:t>3-2</w:t>
      </w:r>
      <w:r>
        <w:rPr>
          <w:noProof/>
        </w:rPr>
        <w:fldChar w:fldCharType="end"/>
      </w:r>
    </w:p>
    <w:p w14:paraId="0109FB1F" w14:textId="77777777" w:rsidR="00E57F58" w:rsidRDefault="00E57F58">
      <w:pPr>
        <w:pStyle w:val="TOC3"/>
        <w:rPr>
          <w:rFonts w:asciiTheme="minorHAnsi" w:eastAsiaTheme="minorEastAsia" w:hAnsiTheme="minorHAnsi" w:cstheme="minorBidi"/>
          <w:noProof/>
          <w:color w:val="auto"/>
          <w:sz w:val="22"/>
          <w:szCs w:val="22"/>
        </w:rPr>
      </w:pPr>
      <w:r>
        <w:rPr>
          <w:noProof/>
        </w:rPr>
        <w:t>3.3.2</w:t>
      </w:r>
      <w:r>
        <w:rPr>
          <w:rFonts w:asciiTheme="minorHAnsi" w:eastAsiaTheme="minorEastAsia" w:hAnsiTheme="minorHAnsi" w:cstheme="minorBidi"/>
          <w:noProof/>
          <w:color w:val="auto"/>
          <w:sz w:val="22"/>
          <w:szCs w:val="22"/>
        </w:rPr>
        <w:tab/>
      </w:r>
      <w:r>
        <w:rPr>
          <w:noProof/>
        </w:rPr>
        <w:t>Aquifer Geometry</w:t>
      </w:r>
      <w:r>
        <w:rPr>
          <w:noProof/>
        </w:rPr>
        <w:tab/>
      </w:r>
      <w:r>
        <w:rPr>
          <w:noProof/>
        </w:rPr>
        <w:fldChar w:fldCharType="begin"/>
      </w:r>
      <w:r>
        <w:rPr>
          <w:noProof/>
        </w:rPr>
        <w:instrText xml:space="preserve"> PAGEREF _Toc427921421 \h </w:instrText>
      </w:r>
      <w:r>
        <w:rPr>
          <w:noProof/>
        </w:rPr>
      </w:r>
      <w:r>
        <w:rPr>
          <w:noProof/>
        </w:rPr>
        <w:fldChar w:fldCharType="separate"/>
      </w:r>
      <w:r>
        <w:rPr>
          <w:noProof/>
        </w:rPr>
        <w:t>3-2</w:t>
      </w:r>
      <w:r>
        <w:rPr>
          <w:noProof/>
        </w:rPr>
        <w:fldChar w:fldCharType="end"/>
      </w:r>
    </w:p>
    <w:p w14:paraId="76F38D94" w14:textId="77777777" w:rsidR="00E57F58" w:rsidRDefault="00E57F58">
      <w:pPr>
        <w:pStyle w:val="TOC3"/>
        <w:rPr>
          <w:rFonts w:asciiTheme="minorHAnsi" w:eastAsiaTheme="minorEastAsia" w:hAnsiTheme="minorHAnsi" w:cstheme="minorBidi"/>
          <w:noProof/>
          <w:color w:val="auto"/>
          <w:sz w:val="22"/>
          <w:szCs w:val="22"/>
        </w:rPr>
      </w:pPr>
      <w:r>
        <w:rPr>
          <w:noProof/>
        </w:rPr>
        <w:t>3.3.3</w:t>
      </w:r>
      <w:r>
        <w:rPr>
          <w:rFonts w:asciiTheme="minorHAnsi" w:eastAsiaTheme="minorEastAsia" w:hAnsiTheme="minorHAnsi" w:cstheme="minorBidi"/>
          <w:noProof/>
          <w:color w:val="auto"/>
          <w:sz w:val="22"/>
          <w:szCs w:val="22"/>
        </w:rPr>
        <w:tab/>
      </w:r>
      <w:r>
        <w:rPr>
          <w:noProof/>
        </w:rPr>
        <w:t>Aquifer Properties</w:t>
      </w:r>
      <w:r>
        <w:rPr>
          <w:noProof/>
        </w:rPr>
        <w:tab/>
      </w:r>
      <w:r>
        <w:rPr>
          <w:noProof/>
        </w:rPr>
        <w:fldChar w:fldCharType="begin"/>
      </w:r>
      <w:r>
        <w:rPr>
          <w:noProof/>
        </w:rPr>
        <w:instrText xml:space="preserve"> PAGEREF _Toc427921422 \h </w:instrText>
      </w:r>
      <w:r>
        <w:rPr>
          <w:noProof/>
        </w:rPr>
      </w:r>
      <w:r>
        <w:rPr>
          <w:noProof/>
        </w:rPr>
        <w:fldChar w:fldCharType="separate"/>
      </w:r>
      <w:r>
        <w:rPr>
          <w:noProof/>
        </w:rPr>
        <w:t>3-3</w:t>
      </w:r>
      <w:r>
        <w:rPr>
          <w:noProof/>
        </w:rPr>
        <w:fldChar w:fldCharType="end"/>
      </w:r>
    </w:p>
    <w:p w14:paraId="788B653E" w14:textId="77777777" w:rsidR="00E57F58" w:rsidRDefault="00E57F58">
      <w:pPr>
        <w:pStyle w:val="TOC3"/>
        <w:rPr>
          <w:rFonts w:asciiTheme="minorHAnsi" w:eastAsiaTheme="minorEastAsia" w:hAnsiTheme="minorHAnsi" w:cstheme="minorBidi"/>
          <w:noProof/>
          <w:color w:val="auto"/>
          <w:sz w:val="22"/>
          <w:szCs w:val="22"/>
        </w:rPr>
      </w:pPr>
      <w:r>
        <w:rPr>
          <w:noProof/>
        </w:rPr>
        <w:t>3.3.4</w:t>
      </w:r>
      <w:r>
        <w:rPr>
          <w:rFonts w:asciiTheme="minorHAnsi" w:eastAsiaTheme="minorEastAsia" w:hAnsiTheme="minorHAnsi" w:cstheme="minorBidi"/>
          <w:noProof/>
          <w:color w:val="auto"/>
          <w:sz w:val="22"/>
          <w:szCs w:val="22"/>
        </w:rPr>
        <w:tab/>
      </w:r>
      <w:r>
        <w:rPr>
          <w:noProof/>
        </w:rPr>
        <w:t>Groundwater Levels</w:t>
      </w:r>
      <w:r>
        <w:rPr>
          <w:noProof/>
        </w:rPr>
        <w:tab/>
      </w:r>
      <w:r>
        <w:rPr>
          <w:noProof/>
        </w:rPr>
        <w:fldChar w:fldCharType="begin"/>
      </w:r>
      <w:r>
        <w:rPr>
          <w:noProof/>
        </w:rPr>
        <w:instrText xml:space="preserve"> PAGEREF _Toc427921423 \h </w:instrText>
      </w:r>
      <w:r>
        <w:rPr>
          <w:noProof/>
        </w:rPr>
      </w:r>
      <w:r>
        <w:rPr>
          <w:noProof/>
        </w:rPr>
        <w:fldChar w:fldCharType="separate"/>
      </w:r>
      <w:r>
        <w:rPr>
          <w:noProof/>
        </w:rPr>
        <w:t>3-4</w:t>
      </w:r>
      <w:r>
        <w:rPr>
          <w:noProof/>
        </w:rPr>
        <w:fldChar w:fldCharType="end"/>
      </w:r>
    </w:p>
    <w:p w14:paraId="16B7F848" w14:textId="77777777" w:rsidR="00E57F58" w:rsidRDefault="00E57F58">
      <w:pPr>
        <w:pStyle w:val="TOC3"/>
        <w:rPr>
          <w:rFonts w:asciiTheme="minorHAnsi" w:eastAsiaTheme="minorEastAsia" w:hAnsiTheme="minorHAnsi" w:cstheme="minorBidi"/>
          <w:noProof/>
          <w:color w:val="auto"/>
          <w:sz w:val="22"/>
          <w:szCs w:val="22"/>
        </w:rPr>
      </w:pPr>
      <w:r>
        <w:rPr>
          <w:noProof/>
        </w:rPr>
        <w:t>3.3.5</w:t>
      </w:r>
      <w:r>
        <w:rPr>
          <w:rFonts w:asciiTheme="minorHAnsi" w:eastAsiaTheme="minorEastAsia" w:hAnsiTheme="minorHAnsi" w:cstheme="minorBidi"/>
          <w:noProof/>
          <w:color w:val="auto"/>
          <w:sz w:val="22"/>
          <w:szCs w:val="22"/>
        </w:rPr>
        <w:tab/>
      </w:r>
      <w:r>
        <w:rPr>
          <w:noProof/>
        </w:rPr>
        <w:t>Groundwater Flow</w:t>
      </w:r>
      <w:r>
        <w:rPr>
          <w:noProof/>
        </w:rPr>
        <w:tab/>
      </w:r>
      <w:r>
        <w:rPr>
          <w:noProof/>
        </w:rPr>
        <w:fldChar w:fldCharType="begin"/>
      </w:r>
      <w:r>
        <w:rPr>
          <w:noProof/>
        </w:rPr>
        <w:instrText xml:space="preserve"> PAGEREF _Toc427921424 \h </w:instrText>
      </w:r>
      <w:r>
        <w:rPr>
          <w:noProof/>
        </w:rPr>
      </w:r>
      <w:r>
        <w:rPr>
          <w:noProof/>
        </w:rPr>
        <w:fldChar w:fldCharType="separate"/>
      </w:r>
      <w:r>
        <w:rPr>
          <w:noProof/>
        </w:rPr>
        <w:t>3-5</w:t>
      </w:r>
      <w:r>
        <w:rPr>
          <w:noProof/>
        </w:rPr>
        <w:fldChar w:fldCharType="end"/>
      </w:r>
    </w:p>
    <w:p w14:paraId="2ABCA645" w14:textId="77777777" w:rsidR="00E57F58" w:rsidRDefault="00E57F58">
      <w:pPr>
        <w:pStyle w:val="TOC3"/>
        <w:rPr>
          <w:rFonts w:asciiTheme="minorHAnsi" w:eastAsiaTheme="minorEastAsia" w:hAnsiTheme="minorHAnsi" w:cstheme="minorBidi"/>
          <w:noProof/>
          <w:color w:val="auto"/>
          <w:sz w:val="22"/>
          <w:szCs w:val="22"/>
        </w:rPr>
      </w:pPr>
      <w:r>
        <w:rPr>
          <w:noProof/>
        </w:rPr>
        <w:t>3.3.6</w:t>
      </w:r>
      <w:r>
        <w:rPr>
          <w:rFonts w:asciiTheme="minorHAnsi" w:eastAsiaTheme="minorEastAsia" w:hAnsiTheme="minorHAnsi" w:cstheme="minorBidi"/>
          <w:noProof/>
          <w:color w:val="auto"/>
          <w:sz w:val="22"/>
          <w:szCs w:val="22"/>
        </w:rPr>
        <w:tab/>
      </w:r>
      <w:r>
        <w:rPr>
          <w:noProof/>
        </w:rPr>
        <w:t>Groundwater Recharge</w:t>
      </w:r>
      <w:r>
        <w:rPr>
          <w:noProof/>
        </w:rPr>
        <w:tab/>
      </w:r>
      <w:r>
        <w:rPr>
          <w:noProof/>
        </w:rPr>
        <w:fldChar w:fldCharType="begin"/>
      </w:r>
      <w:r>
        <w:rPr>
          <w:noProof/>
        </w:rPr>
        <w:instrText xml:space="preserve"> PAGEREF _Toc427921425 \h </w:instrText>
      </w:r>
      <w:r>
        <w:rPr>
          <w:noProof/>
        </w:rPr>
      </w:r>
      <w:r>
        <w:rPr>
          <w:noProof/>
        </w:rPr>
        <w:fldChar w:fldCharType="separate"/>
      </w:r>
      <w:r>
        <w:rPr>
          <w:noProof/>
        </w:rPr>
        <w:t>3-5</w:t>
      </w:r>
      <w:r>
        <w:rPr>
          <w:noProof/>
        </w:rPr>
        <w:fldChar w:fldCharType="end"/>
      </w:r>
    </w:p>
    <w:p w14:paraId="22435CD1" w14:textId="77777777" w:rsidR="00E57F58" w:rsidRDefault="00E57F58">
      <w:pPr>
        <w:pStyle w:val="TOC4"/>
        <w:rPr>
          <w:rFonts w:asciiTheme="minorHAnsi" w:eastAsiaTheme="minorEastAsia" w:hAnsiTheme="minorHAnsi" w:cstheme="minorBidi"/>
          <w:sz w:val="22"/>
        </w:rPr>
      </w:pPr>
      <w:r>
        <w:t>3.3.6.1</w:t>
      </w:r>
      <w:r>
        <w:rPr>
          <w:rFonts w:asciiTheme="minorHAnsi" w:eastAsiaTheme="minorEastAsia" w:hAnsiTheme="minorHAnsi" w:cstheme="minorBidi"/>
          <w:sz w:val="22"/>
        </w:rPr>
        <w:tab/>
      </w:r>
      <w:r>
        <w:t>Deep Infiltration of Precipitation and Applied Water (DIPAW)</w:t>
      </w:r>
      <w:r>
        <w:tab/>
      </w:r>
      <w:r>
        <w:fldChar w:fldCharType="begin"/>
      </w:r>
      <w:r>
        <w:instrText xml:space="preserve"> PAGEREF _Toc427921426 \h </w:instrText>
      </w:r>
      <w:r>
        <w:fldChar w:fldCharType="separate"/>
      </w:r>
      <w:r>
        <w:t>3-5</w:t>
      </w:r>
      <w:r>
        <w:fldChar w:fldCharType="end"/>
      </w:r>
    </w:p>
    <w:p w14:paraId="0D4C76CD" w14:textId="77777777" w:rsidR="00E57F58" w:rsidRDefault="00E57F58">
      <w:pPr>
        <w:pStyle w:val="TOC3"/>
        <w:rPr>
          <w:rFonts w:asciiTheme="minorHAnsi" w:eastAsiaTheme="minorEastAsia" w:hAnsiTheme="minorHAnsi" w:cstheme="minorBidi"/>
          <w:noProof/>
          <w:color w:val="auto"/>
          <w:sz w:val="22"/>
          <w:szCs w:val="22"/>
        </w:rPr>
      </w:pPr>
      <w:r>
        <w:rPr>
          <w:noProof/>
        </w:rPr>
        <w:t>3.3.7</w:t>
      </w:r>
      <w:r>
        <w:rPr>
          <w:rFonts w:asciiTheme="minorHAnsi" w:eastAsiaTheme="minorEastAsia" w:hAnsiTheme="minorHAnsi" w:cstheme="minorBidi"/>
          <w:noProof/>
          <w:color w:val="auto"/>
          <w:sz w:val="22"/>
          <w:szCs w:val="22"/>
        </w:rPr>
        <w:tab/>
      </w:r>
      <w:r>
        <w:rPr>
          <w:noProof/>
        </w:rPr>
        <w:t>Groundwater Discharge</w:t>
      </w:r>
      <w:r>
        <w:rPr>
          <w:noProof/>
        </w:rPr>
        <w:tab/>
      </w:r>
      <w:r>
        <w:rPr>
          <w:noProof/>
        </w:rPr>
        <w:fldChar w:fldCharType="begin"/>
      </w:r>
      <w:r>
        <w:rPr>
          <w:noProof/>
        </w:rPr>
        <w:instrText xml:space="preserve"> PAGEREF _Toc427921427 \h </w:instrText>
      </w:r>
      <w:r>
        <w:rPr>
          <w:noProof/>
        </w:rPr>
      </w:r>
      <w:r>
        <w:rPr>
          <w:noProof/>
        </w:rPr>
        <w:fldChar w:fldCharType="separate"/>
      </w:r>
      <w:r>
        <w:rPr>
          <w:noProof/>
        </w:rPr>
        <w:t>3-6</w:t>
      </w:r>
      <w:r>
        <w:rPr>
          <w:noProof/>
        </w:rPr>
        <w:fldChar w:fldCharType="end"/>
      </w:r>
    </w:p>
    <w:p w14:paraId="497644C7" w14:textId="77777777" w:rsidR="00E57F58" w:rsidRDefault="00E57F58">
      <w:pPr>
        <w:pStyle w:val="TOC4"/>
        <w:rPr>
          <w:rFonts w:asciiTheme="minorHAnsi" w:eastAsiaTheme="minorEastAsia" w:hAnsiTheme="minorHAnsi" w:cstheme="minorBidi"/>
          <w:sz w:val="22"/>
        </w:rPr>
      </w:pPr>
      <w:r>
        <w:t>3.3.7.1</w:t>
      </w:r>
      <w:r>
        <w:rPr>
          <w:rFonts w:asciiTheme="minorHAnsi" w:eastAsiaTheme="minorEastAsia" w:hAnsiTheme="minorHAnsi" w:cstheme="minorBidi"/>
          <w:sz w:val="22"/>
        </w:rPr>
        <w:tab/>
      </w:r>
      <w:r>
        <w:t>Groundwater Production</w:t>
      </w:r>
      <w:r>
        <w:tab/>
      </w:r>
      <w:r>
        <w:fldChar w:fldCharType="begin"/>
      </w:r>
      <w:r>
        <w:instrText xml:space="preserve"> PAGEREF _Toc427921428 \h </w:instrText>
      </w:r>
      <w:r>
        <w:fldChar w:fldCharType="separate"/>
      </w:r>
      <w:r>
        <w:t>3-7</w:t>
      </w:r>
      <w:r>
        <w:fldChar w:fldCharType="end"/>
      </w:r>
    </w:p>
    <w:p w14:paraId="593969DF" w14:textId="77777777" w:rsidR="00E57F58" w:rsidRDefault="00E57F58">
      <w:pPr>
        <w:pStyle w:val="TOC4"/>
        <w:rPr>
          <w:rFonts w:asciiTheme="minorHAnsi" w:eastAsiaTheme="minorEastAsia" w:hAnsiTheme="minorHAnsi" w:cstheme="minorBidi"/>
          <w:sz w:val="22"/>
        </w:rPr>
      </w:pPr>
      <w:r>
        <w:t>3.3.7.2</w:t>
      </w:r>
      <w:r>
        <w:rPr>
          <w:rFonts w:asciiTheme="minorHAnsi" w:eastAsiaTheme="minorEastAsia" w:hAnsiTheme="minorHAnsi" w:cstheme="minorBidi"/>
          <w:sz w:val="22"/>
        </w:rPr>
        <w:tab/>
      </w:r>
      <w:r>
        <w:t>Sub-Surface Outflow</w:t>
      </w:r>
      <w:r>
        <w:tab/>
      </w:r>
      <w:r>
        <w:fldChar w:fldCharType="begin"/>
      </w:r>
      <w:r>
        <w:instrText xml:space="preserve"> PAGEREF _Toc427921429 \h </w:instrText>
      </w:r>
      <w:r>
        <w:fldChar w:fldCharType="separate"/>
      </w:r>
      <w:r>
        <w:t>3-7</w:t>
      </w:r>
      <w:r>
        <w:fldChar w:fldCharType="end"/>
      </w:r>
    </w:p>
    <w:p w14:paraId="0A9F7937" w14:textId="77777777" w:rsidR="00E57F58" w:rsidRDefault="00E57F58">
      <w:pPr>
        <w:pStyle w:val="TOC4"/>
        <w:rPr>
          <w:rFonts w:asciiTheme="minorHAnsi" w:eastAsiaTheme="minorEastAsia" w:hAnsiTheme="minorHAnsi" w:cstheme="minorBidi"/>
          <w:sz w:val="22"/>
        </w:rPr>
      </w:pPr>
      <w:r>
        <w:t>3.3.7.3</w:t>
      </w:r>
      <w:r>
        <w:rPr>
          <w:rFonts w:asciiTheme="minorHAnsi" w:eastAsiaTheme="minorEastAsia" w:hAnsiTheme="minorHAnsi" w:cstheme="minorBidi"/>
          <w:sz w:val="22"/>
        </w:rPr>
        <w:tab/>
      </w:r>
      <w:r>
        <w:t>Evapotranspiration</w:t>
      </w:r>
      <w:r>
        <w:tab/>
      </w:r>
      <w:r>
        <w:fldChar w:fldCharType="begin"/>
      </w:r>
      <w:r>
        <w:instrText xml:space="preserve"> PAGEREF _Toc427921430 \h </w:instrText>
      </w:r>
      <w:r>
        <w:fldChar w:fldCharType="separate"/>
      </w:r>
      <w:r>
        <w:t>3-8</w:t>
      </w:r>
      <w:r>
        <w:fldChar w:fldCharType="end"/>
      </w:r>
    </w:p>
    <w:p w14:paraId="22F9E75C" w14:textId="77777777" w:rsidR="00E57F58" w:rsidRDefault="00E57F58">
      <w:pPr>
        <w:pStyle w:val="TOC4"/>
        <w:rPr>
          <w:rFonts w:asciiTheme="minorHAnsi" w:eastAsiaTheme="minorEastAsia" w:hAnsiTheme="minorHAnsi" w:cstheme="minorBidi"/>
          <w:sz w:val="22"/>
        </w:rPr>
      </w:pPr>
      <w:r>
        <w:t>3.3.7.4</w:t>
      </w:r>
      <w:r>
        <w:rPr>
          <w:rFonts w:asciiTheme="minorHAnsi" w:eastAsiaTheme="minorEastAsia" w:hAnsiTheme="minorHAnsi" w:cstheme="minorBidi"/>
          <w:sz w:val="22"/>
        </w:rPr>
        <w:tab/>
      </w:r>
      <w:r>
        <w:t>Rising Groundwater</w:t>
      </w:r>
      <w:r>
        <w:tab/>
      </w:r>
      <w:r>
        <w:fldChar w:fldCharType="begin"/>
      </w:r>
      <w:r>
        <w:instrText xml:space="preserve"> PAGEREF _Toc427921431 \h </w:instrText>
      </w:r>
      <w:r>
        <w:fldChar w:fldCharType="separate"/>
      </w:r>
      <w:r>
        <w:t>3-8</w:t>
      </w:r>
      <w:r>
        <w:fldChar w:fldCharType="end"/>
      </w:r>
    </w:p>
    <w:p w14:paraId="682D669F" w14:textId="77777777" w:rsidR="00E57F58" w:rsidRDefault="00E57F58">
      <w:pPr>
        <w:pStyle w:val="TOC3"/>
        <w:rPr>
          <w:rFonts w:asciiTheme="minorHAnsi" w:eastAsiaTheme="minorEastAsia" w:hAnsiTheme="minorHAnsi" w:cstheme="minorBidi"/>
          <w:noProof/>
          <w:color w:val="auto"/>
          <w:sz w:val="22"/>
          <w:szCs w:val="22"/>
        </w:rPr>
      </w:pPr>
      <w:r>
        <w:rPr>
          <w:noProof/>
        </w:rPr>
        <w:t>3.3.8</w:t>
      </w:r>
      <w:r>
        <w:rPr>
          <w:rFonts w:asciiTheme="minorHAnsi" w:eastAsiaTheme="minorEastAsia" w:hAnsiTheme="minorHAnsi" w:cstheme="minorBidi"/>
          <w:noProof/>
          <w:color w:val="auto"/>
          <w:sz w:val="22"/>
          <w:szCs w:val="22"/>
        </w:rPr>
        <w:tab/>
      </w:r>
      <w:r>
        <w:rPr>
          <w:noProof/>
        </w:rPr>
        <w:t>Groundwater Storage</w:t>
      </w:r>
      <w:r>
        <w:rPr>
          <w:noProof/>
        </w:rPr>
        <w:tab/>
      </w:r>
      <w:r>
        <w:rPr>
          <w:noProof/>
        </w:rPr>
        <w:fldChar w:fldCharType="begin"/>
      </w:r>
      <w:r>
        <w:rPr>
          <w:noProof/>
        </w:rPr>
        <w:instrText xml:space="preserve"> PAGEREF _Toc427921432 \h </w:instrText>
      </w:r>
      <w:r>
        <w:rPr>
          <w:noProof/>
        </w:rPr>
      </w:r>
      <w:r>
        <w:rPr>
          <w:noProof/>
        </w:rPr>
        <w:fldChar w:fldCharType="separate"/>
      </w:r>
      <w:r>
        <w:rPr>
          <w:noProof/>
        </w:rPr>
        <w:t>3-8</w:t>
      </w:r>
      <w:r>
        <w:rPr>
          <w:noProof/>
        </w:rPr>
        <w:fldChar w:fldCharType="end"/>
      </w:r>
    </w:p>
    <w:p w14:paraId="30C6D66D" w14:textId="77777777" w:rsidR="00E57F58" w:rsidRDefault="00E57F58">
      <w:pPr>
        <w:pStyle w:val="TOC3"/>
        <w:rPr>
          <w:rFonts w:asciiTheme="minorHAnsi" w:eastAsiaTheme="minorEastAsia" w:hAnsiTheme="minorHAnsi" w:cstheme="minorBidi"/>
          <w:noProof/>
          <w:color w:val="auto"/>
          <w:sz w:val="22"/>
          <w:szCs w:val="22"/>
        </w:rPr>
      </w:pPr>
      <w:r>
        <w:rPr>
          <w:noProof/>
        </w:rPr>
        <w:t>3.3.9</w:t>
      </w:r>
      <w:r>
        <w:rPr>
          <w:rFonts w:asciiTheme="minorHAnsi" w:eastAsiaTheme="minorEastAsia" w:hAnsiTheme="minorHAnsi" w:cstheme="minorBidi"/>
          <w:noProof/>
          <w:color w:val="auto"/>
          <w:sz w:val="22"/>
          <w:szCs w:val="22"/>
        </w:rPr>
        <w:tab/>
      </w:r>
      <w:r>
        <w:rPr>
          <w:noProof/>
        </w:rPr>
        <w:t>Historical Production Related to Storage, Climate, and Irrigation Return Flows</w:t>
      </w:r>
      <w:r>
        <w:rPr>
          <w:noProof/>
        </w:rPr>
        <w:tab/>
      </w:r>
      <w:r>
        <w:rPr>
          <w:noProof/>
        </w:rPr>
        <w:fldChar w:fldCharType="begin"/>
      </w:r>
      <w:r>
        <w:rPr>
          <w:noProof/>
        </w:rPr>
        <w:instrText xml:space="preserve"> PAGEREF _Toc427921433 \h </w:instrText>
      </w:r>
      <w:r>
        <w:rPr>
          <w:noProof/>
        </w:rPr>
      </w:r>
      <w:r>
        <w:rPr>
          <w:noProof/>
        </w:rPr>
        <w:fldChar w:fldCharType="separate"/>
      </w:r>
      <w:r>
        <w:rPr>
          <w:noProof/>
        </w:rPr>
        <w:t>3-9</w:t>
      </w:r>
      <w:r>
        <w:rPr>
          <w:noProof/>
        </w:rPr>
        <w:fldChar w:fldCharType="end"/>
      </w:r>
    </w:p>
    <w:p w14:paraId="571CE651" w14:textId="77777777" w:rsidR="00E57F58" w:rsidRDefault="00E57F58">
      <w:pPr>
        <w:pStyle w:val="TOC3"/>
        <w:rPr>
          <w:rFonts w:asciiTheme="minorHAnsi" w:eastAsiaTheme="minorEastAsia" w:hAnsiTheme="minorHAnsi" w:cstheme="minorBidi"/>
          <w:noProof/>
          <w:color w:val="auto"/>
          <w:sz w:val="22"/>
          <w:szCs w:val="22"/>
        </w:rPr>
      </w:pPr>
      <w:r>
        <w:rPr>
          <w:noProof/>
        </w:rPr>
        <w:t>3.3.10</w:t>
      </w:r>
      <w:r>
        <w:rPr>
          <w:rFonts w:asciiTheme="minorHAnsi" w:eastAsiaTheme="minorEastAsia" w:hAnsiTheme="minorHAnsi" w:cstheme="minorBidi"/>
          <w:noProof/>
          <w:color w:val="auto"/>
          <w:sz w:val="22"/>
          <w:szCs w:val="22"/>
        </w:rPr>
        <w:tab/>
      </w:r>
      <w:r>
        <w:rPr>
          <w:noProof/>
        </w:rPr>
        <w:t>Groundwater Quality</w:t>
      </w:r>
      <w:r>
        <w:rPr>
          <w:noProof/>
        </w:rPr>
        <w:tab/>
      </w:r>
      <w:r>
        <w:rPr>
          <w:noProof/>
        </w:rPr>
        <w:fldChar w:fldCharType="begin"/>
      </w:r>
      <w:r>
        <w:rPr>
          <w:noProof/>
        </w:rPr>
        <w:instrText xml:space="preserve"> PAGEREF _Toc427921434 \h </w:instrText>
      </w:r>
      <w:r>
        <w:rPr>
          <w:noProof/>
        </w:rPr>
      </w:r>
      <w:r>
        <w:rPr>
          <w:noProof/>
        </w:rPr>
        <w:fldChar w:fldCharType="separate"/>
      </w:r>
      <w:r>
        <w:rPr>
          <w:noProof/>
        </w:rPr>
        <w:t>3-10</w:t>
      </w:r>
      <w:r>
        <w:rPr>
          <w:noProof/>
        </w:rPr>
        <w:fldChar w:fldCharType="end"/>
      </w:r>
    </w:p>
    <w:p w14:paraId="0ABC9FA6" w14:textId="77777777" w:rsidR="00E57F58" w:rsidRDefault="00E57F58">
      <w:pPr>
        <w:pStyle w:val="TOC4"/>
        <w:rPr>
          <w:rFonts w:asciiTheme="minorHAnsi" w:eastAsiaTheme="minorEastAsia" w:hAnsiTheme="minorHAnsi" w:cstheme="minorBidi"/>
          <w:sz w:val="22"/>
        </w:rPr>
      </w:pPr>
      <w:r>
        <w:t>3.3.10.1</w:t>
      </w:r>
      <w:r>
        <w:rPr>
          <w:rFonts w:asciiTheme="minorHAnsi" w:eastAsiaTheme="minorEastAsia" w:hAnsiTheme="minorHAnsi" w:cstheme="minorBidi"/>
          <w:sz w:val="22"/>
        </w:rPr>
        <w:tab/>
      </w:r>
      <w:r>
        <w:t>Comparison of Historical Water Quality Data to Title 22 Drinking Water Standards</w:t>
      </w:r>
      <w:r>
        <w:tab/>
      </w:r>
      <w:r>
        <w:fldChar w:fldCharType="begin"/>
      </w:r>
      <w:r>
        <w:instrText xml:space="preserve"> PAGEREF _Toc427921435 \h </w:instrText>
      </w:r>
      <w:r>
        <w:fldChar w:fldCharType="separate"/>
      </w:r>
      <w:r>
        <w:t>3-10</w:t>
      </w:r>
      <w:r>
        <w:fldChar w:fldCharType="end"/>
      </w:r>
    </w:p>
    <w:p w14:paraId="01455E34" w14:textId="77777777" w:rsidR="00E57F58" w:rsidRDefault="00E57F58">
      <w:pPr>
        <w:pStyle w:val="TOC4"/>
        <w:rPr>
          <w:rFonts w:asciiTheme="minorHAnsi" w:eastAsiaTheme="minorEastAsia" w:hAnsiTheme="minorHAnsi" w:cstheme="minorBidi"/>
          <w:sz w:val="22"/>
        </w:rPr>
      </w:pPr>
      <w:r>
        <w:t>3.3.10.2</w:t>
      </w:r>
      <w:r>
        <w:rPr>
          <w:rFonts w:asciiTheme="minorHAnsi" w:eastAsiaTheme="minorEastAsia" w:hAnsiTheme="minorHAnsi" w:cstheme="minorBidi"/>
          <w:sz w:val="22"/>
        </w:rPr>
        <w:tab/>
      </w:r>
      <w:r>
        <w:t>TDS and Nitrate Characterization</w:t>
      </w:r>
      <w:r>
        <w:tab/>
      </w:r>
      <w:r>
        <w:fldChar w:fldCharType="begin"/>
      </w:r>
      <w:r>
        <w:instrText xml:space="preserve"> PAGEREF _Toc427921436 \h </w:instrText>
      </w:r>
      <w:r>
        <w:fldChar w:fldCharType="separate"/>
      </w:r>
      <w:r>
        <w:t>3-11</w:t>
      </w:r>
      <w:r>
        <w:fldChar w:fldCharType="end"/>
      </w:r>
    </w:p>
    <w:p w14:paraId="5D3B9B86" w14:textId="77777777" w:rsidR="00E57F58" w:rsidRDefault="00E57F58">
      <w:pPr>
        <w:pStyle w:val="TOC1"/>
        <w:rPr>
          <w:rFonts w:asciiTheme="minorHAnsi" w:eastAsiaTheme="minorEastAsia" w:hAnsiTheme="minorHAnsi" w:cstheme="minorBidi"/>
          <w:noProof/>
          <w:color w:val="auto"/>
          <w:sz w:val="22"/>
          <w:szCs w:val="22"/>
        </w:rPr>
      </w:pPr>
      <w:r w:rsidRPr="0042754F">
        <w:rPr>
          <w:noProof/>
        </w:rPr>
        <w:t>Section 4</w:t>
      </w:r>
      <w:r>
        <w:rPr>
          <w:noProof/>
        </w:rPr>
        <w:t xml:space="preserve"> – Sustainable Groundwater Management Act Implications on Groundwater Production from the Bedford Basin</w:t>
      </w:r>
      <w:r>
        <w:rPr>
          <w:noProof/>
        </w:rPr>
        <w:tab/>
      </w:r>
      <w:r>
        <w:rPr>
          <w:noProof/>
        </w:rPr>
        <w:fldChar w:fldCharType="begin"/>
      </w:r>
      <w:r>
        <w:rPr>
          <w:noProof/>
        </w:rPr>
        <w:instrText xml:space="preserve"> PAGEREF _Toc427921437 \h </w:instrText>
      </w:r>
      <w:r>
        <w:rPr>
          <w:noProof/>
        </w:rPr>
      </w:r>
      <w:r>
        <w:rPr>
          <w:noProof/>
        </w:rPr>
        <w:fldChar w:fldCharType="separate"/>
      </w:r>
      <w:r>
        <w:rPr>
          <w:noProof/>
        </w:rPr>
        <w:t>4-1</w:t>
      </w:r>
      <w:r>
        <w:rPr>
          <w:noProof/>
        </w:rPr>
        <w:fldChar w:fldCharType="end"/>
      </w:r>
    </w:p>
    <w:p w14:paraId="52CA4B15" w14:textId="77777777" w:rsidR="00E57F58" w:rsidRDefault="00E57F58">
      <w:pPr>
        <w:pStyle w:val="TOC2"/>
        <w:rPr>
          <w:rFonts w:asciiTheme="minorHAnsi" w:eastAsiaTheme="minorEastAsia" w:hAnsiTheme="minorHAnsi" w:cstheme="minorBidi"/>
          <w:noProof/>
          <w:color w:val="auto"/>
          <w:sz w:val="22"/>
          <w:szCs w:val="22"/>
        </w:rPr>
      </w:pPr>
      <w:r>
        <w:rPr>
          <w:noProof/>
        </w:rPr>
        <w:t>4.1</w:t>
      </w:r>
      <w:r>
        <w:rPr>
          <w:rFonts w:asciiTheme="minorHAnsi" w:eastAsiaTheme="minorEastAsia" w:hAnsiTheme="minorHAnsi" w:cstheme="minorBidi"/>
          <w:noProof/>
          <w:color w:val="auto"/>
          <w:sz w:val="22"/>
          <w:szCs w:val="22"/>
        </w:rPr>
        <w:tab/>
      </w:r>
      <w:r>
        <w:rPr>
          <w:noProof/>
        </w:rPr>
        <w:t>The Sustainable Groundwater Management Act (SGMA)</w:t>
      </w:r>
      <w:r>
        <w:rPr>
          <w:noProof/>
        </w:rPr>
        <w:tab/>
      </w:r>
      <w:r>
        <w:rPr>
          <w:noProof/>
        </w:rPr>
        <w:fldChar w:fldCharType="begin"/>
      </w:r>
      <w:r>
        <w:rPr>
          <w:noProof/>
        </w:rPr>
        <w:instrText xml:space="preserve"> PAGEREF _Toc427921438 \h </w:instrText>
      </w:r>
      <w:r>
        <w:rPr>
          <w:noProof/>
        </w:rPr>
      </w:r>
      <w:r>
        <w:rPr>
          <w:noProof/>
        </w:rPr>
        <w:fldChar w:fldCharType="separate"/>
      </w:r>
      <w:r>
        <w:rPr>
          <w:noProof/>
        </w:rPr>
        <w:t>4-1</w:t>
      </w:r>
      <w:r>
        <w:rPr>
          <w:noProof/>
        </w:rPr>
        <w:fldChar w:fldCharType="end"/>
      </w:r>
    </w:p>
    <w:p w14:paraId="35AF3D0C" w14:textId="77777777" w:rsidR="00E57F58" w:rsidRDefault="00E57F58">
      <w:pPr>
        <w:pStyle w:val="TOC3"/>
        <w:rPr>
          <w:rFonts w:asciiTheme="minorHAnsi" w:eastAsiaTheme="minorEastAsia" w:hAnsiTheme="minorHAnsi" w:cstheme="minorBidi"/>
          <w:noProof/>
          <w:color w:val="auto"/>
          <w:sz w:val="22"/>
          <w:szCs w:val="22"/>
        </w:rPr>
      </w:pPr>
      <w:r>
        <w:rPr>
          <w:noProof/>
        </w:rPr>
        <w:t>4.1.1</w:t>
      </w:r>
      <w:r>
        <w:rPr>
          <w:rFonts w:asciiTheme="minorHAnsi" w:eastAsiaTheme="minorEastAsia" w:hAnsiTheme="minorHAnsi" w:cstheme="minorBidi"/>
          <w:noProof/>
          <w:color w:val="auto"/>
          <w:sz w:val="22"/>
          <w:szCs w:val="22"/>
        </w:rPr>
        <w:tab/>
      </w:r>
      <w:r>
        <w:rPr>
          <w:noProof/>
        </w:rPr>
        <w:t>Groundwater Sustainability Agencies</w:t>
      </w:r>
      <w:r>
        <w:rPr>
          <w:noProof/>
        </w:rPr>
        <w:tab/>
      </w:r>
      <w:r>
        <w:rPr>
          <w:noProof/>
        </w:rPr>
        <w:fldChar w:fldCharType="begin"/>
      </w:r>
      <w:r>
        <w:rPr>
          <w:noProof/>
        </w:rPr>
        <w:instrText xml:space="preserve"> PAGEREF _Toc427921439 \h </w:instrText>
      </w:r>
      <w:r>
        <w:rPr>
          <w:noProof/>
        </w:rPr>
      </w:r>
      <w:r>
        <w:rPr>
          <w:noProof/>
        </w:rPr>
        <w:fldChar w:fldCharType="separate"/>
      </w:r>
      <w:r>
        <w:rPr>
          <w:noProof/>
        </w:rPr>
        <w:t>4-1</w:t>
      </w:r>
      <w:r>
        <w:rPr>
          <w:noProof/>
        </w:rPr>
        <w:fldChar w:fldCharType="end"/>
      </w:r>
    </w:p>
    <w:p w14:paraId="1EC5B5BA" w14:textId="77777777" w:rsidR="00E57F58" w:rsidRDefault="00E57F58">
      <w:pPr>
        <w:pStyle w:val="TOC3"/>
        <w:rPr>
          <w:rFonts w:asciiTheme="minorHAnsi" w:eastAsiaTheme="minorEastAsia" w:hAnsiTheme="minorHAnsi" w:cstheme="minorBidi"/>
          <w:noProof/>
          <w:color w:val="auto"/>
          <w:sz w:val="22"/>
          <w:szCs w:val="22"/>
        </w:rPr>
      </w:pPr>
      <w:r>
        <w:rPr>
          <w:noProof/>
        </w:rPr>
        <w:t>4.1.2</w:t>
      </w:r>
      <w:r>
        <w:rPr>
          <w:rFonts w:asciiTheme="minorHAnsi" w:eastAsiaTheme="minorEastAsia" w:hAnsiTheme="minorHAnsi" w:cstheme="minorBidi"/>
          <w:noProof/>
          <w:color w:val="auto"/>
          <w:sz w:val="22"/>
          <w:szCs w:val="22"/>
        </w:rPr>
        <w:tab/>
      </w:r>
      <w:r>
        <w:rPr>
          <w:noProof/>
        </w:rPr>
        <w:t>Groundwater Sustainability Plans</w:t>
      </w:r>
      <w:r>
        <w:rPr>
          <w:noProof/>
        </w:rPr>
        <w:tab/>
      </w:r>
      <w:r>
        <w:rPr>
          <w:noProof/>
        </w:rPr>
        <w:fldChar w:fldCharType="begin"/>
      </w:r>
      <w:r>
        <w:rPr>
          <w:noProof/>
        </w:rPr>
        <w:instrText xml:space="preserve"> PAGEREF _Toc427921440 \h </w:instrText>
      </w:r>
      <w:r>
        <w:rPr>
          <w:noProof/>
        </w:rPr>
      </w:r>
      <w:r>
        <w:rPr>
          <w:noProof/>
        </w:rPr>
        <w:fldChar w:fldCharType="separate"/>
      </w:r>
      <w:r>
        <w:rPr>
          <w:noProof/>
        </w:rPr>
        <w:t>4-2</w:t>
      </w:r>
      <w:r>
        <w:rPr>
          <w:noProof/>
        </w:rPr>
        <w:fldChar w:fldCharType="end"/>
      </w:r>
    </w:p>
    <w:p w14:paraId="21D9552C" w14:textId="77777777" w:rsidR="00E57F58" w:rsidRDefault="00E57F58">
      <w:pPr>
        <w:pStyle w:val="TOC1"/>
        <w:rPr>
          <w:rFonts w:asciiTheme="minorHAnsi" w:eastAsiaTheme="minorEastAsia" w:hAnsiTheme="minorHAnsi" w:cstheme="minorBidi"/>
          <w:noProof/>
          <w:color w:val="auto"/>
          <w:sz w:val="22"/>
          <w:szCs w:val="22"/>
        </w:rPr>
      </w:pPr>
      <w:r w:rsidRPr="0042754F">
        <w:rPr>
          <w:noProof/>
        </w:rPr>
        <w:t>Section 5</w:t>
      </w:r>
      <w:r>
        <w:rPr>
          <w:noProof/>
        </w:rPr>
        <w:t xml:space="preserve"> - Conclusions and Recommendations</w:t>
      </w:r>
      <w:r>
        <w:rPr>
          <w:noProof/>
        </w:rPr>
        <w:tab/>
      </w:r>
      <w:r>
        <w:rPr>
          <w:noProof/>
        </w:rPr>
        <w:fldChar w:fldCharType="begin"/>
      </w:r>
      <w:r>
        <w:rPr>
          <w:noProof/>
        </w:rPr>
        <w:instrText xml:space="preserve"> PAGEREF _Toc427921441 \h </w:instrText>
      </w:r>
      <w:r>
        <w:rPr>
          <w:noProof/>
        </w:rPr>
      </w:r>
      <w:r>
        <w:rPr>
          <w:noProof/>
        </w:rPr>
        <w:fldChar w:fldCharType="separate"/>
      </w:r>
      <w:r>
        <w:rPr>
          <w:noProof/>
        </w:rPr>
        <w:t>5-1</w:t>
      </w:r>
      <w:r>
        <w:rPr>
          <w:noProof/>
        </w:rPr>
        <w:fldChar w:fldCharType="end"/>
      </w:r>
    </w:p>
    <w:p w14:paraId="29A54018" w14:textId="77777777" w:rsidR="00E57F58" w:rsidRDefault="00E57F58">
      <w:pPr>
        <w:pStyle w:val="TOC2"/>
        <w:rPr>
          <w:rFonts w:asciiTheme="minorHAnsi" w:eastAsiaTheme="minorEastAsia" w:hAnsiTheme="minorHAnsi" w:cstheme="minorBidi"/>
          <w:noProof/>
          <w:color w:val="auto"/>
          <w:sz w:val="22"/>
          <w:szCs w:val="22"/>
        </w:rPr>
      </w:pPr>
      <w:r>
        <w:rPr>
          <w:noProof/>
        </w:rPr>
        <w:t>5.1</w:t>
      </w:r>
      <w:r>
        <w:rPr>
          <w:rFonts w:asciiTheme="minorHAnsi" w:eastAsiaTheme="minorEastAsia" w:hAnsiTheme="minorHAnsi" w:cstheme="minorBidi"/>
          <w:noProof/>
          <w:color w:val="auto"/>
          <w:sz w:val="22"/>
          <w:szCs w:val="22"/>
        </w:rPr>
        <w:tab/>
      </w:r>
      <w:r>
        <w:rPr>
          <w:noProof/>
        </w:rPr>
        <w:t>Conclusions</w:t>
      </w:r>
      <w:r>
        <w:rPr>
          <w:noProof/>
        </w:rPr>
        <w:tab/>
      </w:r>
      <w:r>
        <w:rPr>
          <w:noProof/>
        </w:rPr>
        <w:fldChar w:fldCharType="begin"/>
      </w:r>
      <w:r>
        <w:rPr>
          <w:noProof/>
        </w:rPr>
        <w:instrText xml:space="preserve"> PAGEREF _Toc427921442 \h </w:instrText>
      </w:r>
      <w:r>
        <w:rPr>
          <w:noProof/>
        </w:rPr>
      </w:r>
      <w:r>
        <w:rPr>
          <w:noProof/>
        </w:rPr>
        <w:fldChar w:fldCharType="separate"/>
      </w:r>
      <w:r>
        <w:rPr>
          <w:noProof/>
        </w:rPr>
        <w:t>5-1</w:t>
      </w:r>
      <w:r>
        <w:rPr>
          <w:noProof/>
        </w:rPr>
        <w:fldChar w:fldCharType="end"/>
      </w:r>
    </w:p>
    <w:p w14:paraId="43989AA8" w14:textId="77777777" w:rsidR="00E57F58" w:rsidRDefault="00E57F58">
      <w:pPr>
        <w:pStyle w:val="TOC2"/>
        <w:rPr>
          <w:rFonts w:asciiTheme="minorHAnsi" w:eastAsiaTheme="minorEastAsia" w:hAnsiTheme="minorHAnsi" w:cstheme="minorBidi"/>
          <w:noProof/>
          <w:color w:val="auto"/>
          <w:sz w:val="22"/>
          <w:szCs w:val="22"/>
        </w:rPr>
      </w:pPr>
      <w:r>
        <w:rPr>
          <w:noProof/>
        </w:rPr>
        <w:t>5.2</w:t>
      </w:r>
      <w:r>
        <w:rPr>
          <w:rFonts w:asciiTheme="minorHAnsi" w:eastAsiaTheme="minorEastAsia" w:hAnsiTheme="minorHAnsi" w:cstheme="minorBidi"/>
          <w:noProof/>
          <w:color w:val="auto"/>
          <w:sz w:val="22"/>
          <w:szCs w:val="22"/>
        </w:rPr>
        <w:tab/>
      </w:r>
      <w:r>
        <w:rPr>
          <w:noProof/>
        </w:rPr>
        <w:t>Recommendations</w:t>
      </w:r>
      <w:r>
        <w:rPr>
          <w:noProof/>
        </w:rPr>
        <w:tab/>
      </w:r>
      <w:r>
        <w:rPr>
          <w:noProof/>
        </w:rPr>
        <w:fldChar w:fldCharType="begin"/>
      </w:r>
      <w:r>
        <w:rPr>
          <w:noProof/>
        </w:rPr>
        <w:instrText xml:space="preserve"> PAGEREF _Toc427921443 \h </w:instrText>
      </w:r>
      <w:r>
        <w:rPr>
          <w:noProof/>
        </w:rPr>
      </w:r>
      <w:r>
        <w:rPr>
          <w:noProof/>
        </w:rPr>
        <w:fldChar w:fldCharType="separate"/>
      </w:r>
      <w:r>
        <w:rPr>
          <w:noProof/>
        </w:rPr>
        <w:t>5-3</w:t>
      </w:r>
      <w:r>
        <w:rPr>
          <w:noProof/>
        </w:rPr>
        <w:fldChar w:fldCharType="end"/>
      </w:r>
    </w:p>
    <w:p w14:paraId="5071F2E0" w14:textId="77777777" w:rsidR="00E57F58" w:rsidRDefault="00E57F58">
      <w:pPr>
        <w:pStyle w:val="TOC3"/>
        <w:rPr>
          <w:rFonts w:asciiTheme="minorHAnsi" w:eastAsiaTheme="minorEastAsia" w:hAnsiTheme="minorHAnsi" w:cstheme="minorBidi"/>
          <w:noProof/>
          <w:color w:val="auto"/>
          <w:sz w:val="22"/>
          <w:szCs w:val="22"/>
        </w:rPr>
      </w:pPr>
      <w:r>
        <w:rPr>
          <w:noProof/>
        </w:rPr>
        <w:t>5.2.1</w:t>
      </w:r>
      <w:r>
        <w:rPr>
          <w:rFonts w:asciiTheme="minorHAnsi" w:eastAsiaTheme="minorEastAsia" w:hAnsiTheme="minorHAnsi" w:cstheme="minorBidi"/>
          <w:noProof/>
          <w:color w:val="auto"/>
          <w:sz w:val="22"/>
          <w:szCs w:val="22"/>
        </w:rPr>
        <w:tab/>
      </w:r>
      <w:r>
        <w:rPr>
          <w:noProof/>
        </w:rPr>
        <w:t>Phase 1 Investigation Recommendations</w:t>
      </w:r>
      <w:r>
        <w:rPr>
          <w:noProof/>
        </w:rPr>
        <w:tab/>
      </w:r>
      <w:r>
        <w:rPr>
          <w:noProof/>
        </w:rPr>
        <w:fldChar w:fldCharType="begin"/>
      </w:r>
      <w:r>
        <w:rPr>
          <w:noProof/>
        </w:rPr>
        <w:instrText xml:space="preserve"> PAGEREF _Toc427921444 \h </w:instrText>
      </w:r>
      <w:r>
        <w:rPr>
          <w:noProof/>
        </w:rPr>
      </w:r>
      <w:r>
        <w:rPr>
          <w:noProof/>
        </w:rPr>
        <w:fldChar w:fldCharType="separate"/>
      </w:r>
      <w:r>
        <w:rPr>
          <w:noProof/>
        </w:rPr>
        <w:t>5-3</w:t>
      </w:r>
      <w:r>
        <w:rPr>
          <w:noProof/>
        </w:rPr>
        <w:fldChar w:fldCharType="end"/>
      </w:r>
    </w:p>
    <w:p w14:paraId="3E7F5F08" w14:textId="77777777" w:rsidR="00E57F58" w:rsidRDefault="00E57F58">
      <w:pPr>
        <w:pStyle w:val="TOC4"/>
        <w:rPr>
          <w:rFonts w:asciiTheme="minorHAnsi" w:eastAsiaTheme="minorEastAsia" w:hAnsiTheme="minorHAnsi" w:cstheme="minorBidi"/>
          <w:sz w:val="22"/>
        </w:rPr>
      </w:pPr>
      <w:r>
        <w:t>5.2.1.1</w:t>
      </w:r>
      <w:r>
        <w:rPr>
          <w:rFonts w:asciiTheme="minorHAnsi" w:eastAsiaTheme="minorEastAsia" w:hAnsiTheme="minorHAnsi" w:cstheme="minorBidi"/>
          <w:sz w:val="22"/>
        </w:rPr>
        <w:tab/>
      </w:r>
      <w:r>
        <w:t>Increase Groundwater Production</w:t>
      </w:r>
      <w:r>
        <w:tab/>
      </w:r>
      <w:r>
        <w:fldChar w:fldCharType="begin"/>
      </w:r>
      <w:r>
        <w:instrText xml:space="preserve"> PAGEREF _Toc427921445 \h </w:instrText>
      </w:r>
      <w:r>
        <w:fldChar w:fldCharType="separate"/>
      </w:r>
      <w:r>
        <w:t>5-3</w:t>
      </w:r>
      <w:r>
        <w:fldChar w:fldCharType="end"/>
      </w:r>
    </w:p>
    <w:p w14:paraId="376D7FB6" w14:textId="77777777" w:rsidR="00E57F58" w:rsidRDefault="00E57F58">
      <w:pPr>
        <w:pStyle w:val="TOC4"/>
        <w:rPr>
          <w:rFonts w:asciiTheme="minorHAnsi" w:eastAsiaTheme="minorEastAsia" w:hAnsiTheme="minorHAnsi" w:cstheme="minorBidi"/>
          <w:sz w:val="22"/>
        </w:rPr>
      </w:pPr>
      <w:r>
        <w:t>5.2.1.2</w:t>
      </w:r>
      <w:r>
        <w:rPr>
          <w:rFonts w:asciiTheme="minorHAnsi" w:eastAsiaTheme="minorEastAsia" w:hAnsiTheme="minorHAnsi" w:cstheme="minorBidi"/>
          <w:sz w:val="22"/>
        </w:rPr>
        <w:tab/>
      </w:r>
      <w:r>
        <w:t>Develop a Groundwater Level Monitoring Program</w:t>
      </w:r>
      <w:r>
        <w:tab/>
      </w:r>
      <w:r>
        <w:fldChar w:fldCharType="begin"/>
      </w:r>
      <w:r>
        <w:instrText xml:space="preserve"> PAGEREF _Toc427921446 \h </w:instrText>
      </w:r>
      <w:r>
        <w:fldChar w:fldCharType="separate"/>
      </w:r>
      <w:r>
        <w:t>5-3</w:t>
      </w:r>
      <w:r>
        <w:fldChar w:fldCharType="end"/>
      </w:r>
    </w:p>
    <w:p w14:paraId="7EC93FBB" w14:textId="77777777" w:rsidR="00E57F58" w:rsidRDefault="00E57F58">
      <w:pPr>
        <w:pStyle w:val="TOC4"/>
        <w:rPr>
          <w:rFonts w:asciiTheme="minorHAnsi" w:eastAsiaTheme="minorEastAsia" w:hAnsiTheme="minorHAnsi" w:cstheme="minorBidi"/>
          <w:sz w:val="22"/>
        </w:rPr>
      </w:pPr>
      <w:r>
        <w:t>5.2.1.3</w:t>
      </w:r>
      <w:r>
        <w:rPr>
          <w:rFonts w:asciiTheme="minorHAnsi" w:eastAsiaTheme="minorEastAsia" w:hAnsiTheme="minorHAnsi" w:cstheme="minorBidi"/>
          <w:sz w:val="22"/>
        </w:rPr>
        <w:tab/>
      </w:r>
      <w:r>
        <w:t>Develop a Groundwater Quality Monitoring Program</w:t>
      </w:r>
      <w:r>
        <w:tab/>
      </w:r>
      <w:r>
        <w:fldChar w:fldCharType="begin"/>
      </w:r>
      <w:r>
        <w:instrText xml:space="preserve"> PAGEREF _Toc427921447 \h </w:instrText>
      </w:r>
      <w:r>
        <w:fldChar w:fldCharType="separate"/>
      </w:r>
      <w:r>
        <w:t>5-4</w:t>
      </w:r>
      <w:r>
        <w:fldChar w:fldCharType="end"/>
      </w:r>
    </w:p>
    <w:p w14:paraId="099EE83E" w14:textId="77777777" w:rsidR="00E57F58" w:rsidRDefault="00E57F58">
      <w:pPr>
        <w:pStyle w:val="TOC4"/>
        <w:rPr>
          <w:rFonts w:asciiTheme="minorHAnsi" w:eastAsiaTheme="minorEastAsia" w:hAnsiTheme="minorHAnsi" w:cstheme="minorBidi"/>
          <w:sz w:val="22"/>
        </w:rPr>
      </w:pPr>
      <w:r>
        <w:t>5.2.1.4</w:t>
      </w:r>
      <w:r>
        <w:rPr>
          <w:rFonts w:asciiTheme="minorHAnsi" w:eastAsiaTheme="minorEastAsia" w:hAnsiTheme="minorHAnsi" w:cstheme="minorBidi"/>
          <w:sz w:val="22"/>
        </w:rPr>
        <w:tab/>
      </w:r>
      <w:r>
        <w:t>Develop a Surface-Water Monitoring Program</w:t>
      </w:r>
      <w:r>
        <w:tab/>
      </w:r>
      <w:r>
        <w:fldChar w:fldCharType="begin"/>
      </w:r>
      <w:r>
        <w:instrText xml:space="preserve"> PAGEREF _Toc427921448 \h </w:instrText>
      </w:r>
      <w:r>
        <w:fldChar w:fldCharType="separate"/>
      </w:r>
      <w:r>
        <w:t>5-4</w:t>
      </w:r>
      <w:r>
        <w:fldChar w:fldCharType="end"/>
      </w:r>
    </w:p>
    <w:p w14:paraId="30403704" w14:textId="77777777" w:rsidR="00E57F58" w:rsidRDefault="00E57F58">
      <w:pPr>
        <w:pStyle w:val="TOC4"/>
        <w:rPr>
          <w:rFonts w:asciiTheme="minorHAnsi" w:eastAsiaTheme="minorEastAsia" w:hAnsiTheme="minorHAnsi" w:cstheme="minorBidi"/>
          <w:sz w:val="22"/>
        </w:rPr>
      </w:pPr>
      <w:r>
        <w:lastRenderedPageBreak/>
        <w:t>5.2.1.5</w:t>
      </w:r>
      <w:r>
        <w:rPr>
          <w:rFonts w:asciiTheme="minorHAnsi" w:eastAsiaTheme="minorEastAsia" w:hAnsiTheme="minorHAnsi" w:cstheme="minorBidi"/>
          <w:sz w:val="22"/>
        </w:rPr>
        <w:tab/>
      </w:r>
      <w:r>
        <w:t>Develop and Apply Surface-Water and Groundwater Models to Assess Sustainable Production Rates and to Minimize the Risk of Stranded Assets</w:t>
      </w:r>
      <w:r>
        <w:tab/>
      </w:r>
      <w:r>
        <w:fldChar w:fldCharType="begin"/>
      </w:r>
      <w:r>
        <w:instrText xml:space="preserve"> PAGEREF _Toc427921449 \h </w:instrText>
      </w:r>
      <w:r>
        <w:fldChar w:fldCharType="separate"/>
      </w:r>
      <w:r>
        <w:t>5-5</w:t>
      </w:r>
      <w:r>
        <w:fldChar w:fldCharType="end"/>
      </w:r>
    </w:p>
    <w:p w14:paraId="2A8B598A" w14:textId="77777777" w:rsidR="00E57F58" w:rsidRDefault="00E57F58">
      <w:pPr>
        <w:pStyle w:val="TOC1"/>
        <w:rPr>
          <w:rFonts w:asciiTheme="minorHAnsi" w:eastAsiaTheme="minorEastAsia" w:hAnsiTheme="minorHAnsi" w:cstheme="minorBidi"/>
          <w:noProof/>
          <w:color w:val="auto"/>
          <w:sz w:val="22"/>
          <w:szCs w:val="22"/>
        </w:rPr>
      </w:pPr>
      <w:r w:rsidRPr="0042754F">
        <w:rPr>
          <w:noProof/>
        </w:rPr>
        <w:t>Section 6</w:t>
      </w:r>
      <w:r>
        <w:rPr>
          <w:noProof/>
        </w:rPr>
        <w:t xml:space="preserve"> – References</w:t>
      </w:r>
      <w:r>
        <w:rPr>
          <w:noProof/>
        </w:rPr>
        <w:tab/>
      </w:r>
      <w:r>
        <w:rPr>
          <w:noProof/>
        </w:rPr>
        <w:fldChar w:fldCharType="begin"/>
      </w:r>
      <w:r>
        <w:rPr>
          <w:noProof/>
        </w:rPr>
        <w:instrText xml:space="preserve"> PAGEREF _Toc427921450 \h </w:instrText>
      </w:r>
      <w:r>
        <w:rPr>
          <w:noProof/>
        </w:rPr>
      </w:r>
      <w:r>
        <w:rPr>
          <w:noProof/>
        </w:rPr>
        <w:fldChar w:fldCharType="separate"/>
      </w:r>
      <w:r>
        <w:rPr>
          <w:noProof/>
        </w:rPr>
        <w:t>6-1</w:t>
      </w:r>
      <w:r>
        <w:rPr>
          <w:noProof/>
        </w:rPr>
        <w:fldChar w:fldCharType="end"/>
      </w:r>
    </w:p>
    <w:p w14:paraId="31196342" w14:textId="77777777" w:rsidR="00856C42" w:rsidRDefault="00E74FB6" w:rsidP="00856C42">
      <w:pPr>
        <w:pStyle w:val="TOC1"/>
      </w:pPr>
      <w:r w:rsidRPr="009612EF">
        <w:fldChar w:fldCharType="end"/>
      </w:r>
    </w:p>
    <w:p w14:paraId="76E8B102" w14:textId="3601AFDF" w:rsidR="00FE3806" w:rsidRDefault="00EA207A" w:rsidP="00856C42">
      <w:pPr>
        <w:pStyle w:val="TOC1"/>
      </w:pPr>
      <w:r w:rsidRPr="001D16ED">
        <w:t>Appendix A</w:t>
      </w:r>
      <w:r w:rsidR="006F3363" w:rsidRPr="001D16ED">
        <w:t xml:space="preserve"> - Comparison of Groundwater Quality </w:t>
      </w:r>
      <w:r w:rsidR="005174F8" w:rsidRPr="001D16ED">
        <w:t xml:space="preserve">Data </w:t>
      </w:r>
      <w:r w:rsidR="00630D27">
        <w:t>for Wells in the Bedford Basin that Exceed Primary or Secondary MCL of EPA or California, or the California Notification Level</w:t>
      </w:r>
    </w:p>
    <w:p w14:paraId="21A04C59" w14:textId="6BA75532" w:rsidR="001223A9" w:rsidRDefault="00FE3806" w:rsidP="00856C42">
      <w:pPr>
        <w:pStyle w:val="TOC1"/>
      </w:pPr>
      <w:r w:rsidRPr="001D16ED">
        <w:t xml:space="preserve">Appendix </w:t>
      </w:r>
      <w:r>
        <w:t>B</w:t>
      </w:r>
      <w:r w:rsidRPr="001D16ED">
        <w:t xml:space="preserve"> - </w:t>
      </w:r>
      <w:r w:rsidR="00A32547" w:rsidRPr="00A32547">
        <w:t xml:space="preserve">Comparison of AB 3030 Groundwater Management Plans and SB 1168 Groundwater Sustainability Plans </w:t>
      </w:r>
      <w:r w:rsidR="00A32547" w:rsidRPr="00A32547">
        <w:rPr>
          <w:rFonts w:ascii="Times Roman" w:hAnsi="Times Roman"/>
        </w:rPr>
        <w:t>(</w:t>
      </w:r>
      <w:hyperlink r:id="rId16" w:history="1">
        <w:r w:rsidR="00A32547" w:rsidRPr="00A32547">
          <w:rPr>
            <w:rStyle w:val="Hyperlink"/>
            <w:rFonts w:ascii="Times Roman" w:hAnsi="Times Roman"/>
          </w:rPr>
          <w:t>http://water.bhfs.com/sgmadesktopreference/</w:t>
        </w:r>
      </w:hyperlink>
      <w:r w:rsidR="00A32547" w:rsidRPr="00A32547">
        <w:rPr>
          <w:rStyle w:val="Hyperlink"/>
          <w:rFonts w:ascii="Times Roman" w:hAnsi="Times Roman"/>
        </w:rPr>
        <w:t>)</w:t>
      </w:r>
      <w:r w:rsidR="00E50D64">
        <w:rPr>
          <w:noProof/>
        </w:rPr>
        <w:br w:type="page"/>
      </w:r>
    </w:p>
    <w:p w14:paraId="1D9DC415" w14:textId="77777777" w:rsidR="006E483B" w:rsidRDefault="006E483B" w:rsidP="00D75382">
      <w:pPr>
        <w:spacing w:line="240" w:lineRule="auto"/>
        <w:jc w:val="center"/>
        <w:rPr>
          <w:rFonts w:ascii="Franklin Gothic Heavy" w:hAnsi="Franklin Gothic Heavy" w:cs="Arial"/>
          <w:bCs/>
          <w:color w:val="002060"/>
          <w:sz w:val="24"/>
          <w:szCs w:val="24"/>
        </w:rPr>
      </w:pPr>
    </w:p>
    <w:tbl>
      <w:tblPr>
        <w:tblW w:w="8563" w:type="dxa"/>
        <w:jc w:val="center"/>
        <w:tblLook w:val="04A0" w:firstRow="1" w:lastRow="0" w:firstColumn="1" w:lastColumn="0" w:noHBand="0" w:noVBand="1"/>
      </w:tblPr>
      <w:tblGrid>
        <w:gridCol w:w="1093"/>
        <w:gridCol w:w="7470"/>
      </w:tblGrid>
      <w:tr w:rsidR="006E483B" w:rsidRPr="00820A9B" w14:paraId="45082387" w14:textId="77777777" w:rsidTr="0035127C">
        <w:trPr>
          <w:trHeight w:val="290"/>
          <w:jc w:val="center"/>
        </w:trPr>
        <w:tc>
          <w:tcPr>
            <w:tcW w:w="8563" w:type="dxa"/>
            <w:gridSpan w:val="2"/>
            <w:vMerge w:val="restart"/>
            <w:shd w:val="clear" w:color="auto" w:fill="000080"/>
            <w:noWrap/>
            <w:vAlign w:val="center"/>
          </w:tcPr>
          <w:p w14:paraId="48782AA0" w14:textId="77777777" w:rsidR="006E483B" w:rsidRPr="00940E10" w:rsidRDefault="006E483B" w:rsidP="00D75382">
            <w:pPr>
              <w:spacing w:line="240" w:lineRule="auto"/>
              <w:jc w:val="center"/>
              <w:rPr>
                <w:rFonts w:ascii="Franklin Gothic Heavy" w:hAnsi="Franklin Gothic Heavy" w:cs="Arial"/>
                <w:bCs/>
                <w:color w:val="FFFFFF"/>
                <w:sz w:val="24"/>
                <w:szCs w:val="24"/>
              </w:rPr>
            </w:pPr>
            <w:r>
              <w:rPr>
                <w:noProof/>
              </w:rPr>
              <w:br w:type="page"/>
            </w:r>
            <w:r>
              <w:br w:type="page"/>
            </w:r>
            <w:r w:rsidRPr="00940E10">
              <w:rPr>
                <w:rFonts w:ascii="Franklin Gothic Heavy" w:hAnsi="Franklin Gothic Heavy" w:cs="Arial"/>
                <w:bCs/>
                <w:color w:val="FFFFFF"/>
                <w:sz w:val="24"/>
                <w:szCs w:val="24"/>
              </w:rPr>
              <w:t>List of Tables</w:t>
            </w:r>
          </w:p>
        </w:tc>
      </w:tr>
      <w:tr w:rsidR="006E483B" w:rsidRPr="00820A9B" w14:paraId="2F770505" w14:textId="77777777" w:rsidTr="00F143A3">
        <w:trPr>
          <w:trHeight w:val="230"/>
          <w:jc w:val="center"/>
        </w:trPr>
        <w:tc>
          <w:tcPr>
            <w:tcW w:w="8563" w:type="dxa"/>
            <w:gridSpan w:val="2"/>
            <w:vMerge/>
            <w:shd w:val="clear" w:color="auto" w:fill="000080"/>
            <w:vAlign w:val="center"/>
          </w:tcPr>
          <w:p w14:paraId="6447BEFE" w14:textId="77777777" w:rsidR="006E483B" w:rsidRPr="00820A9B" w:rsidRDefault="006E483B" w:rsidP="00D75382">
            <w:pPr>
              <w:spacing w:line="240" w:lineRule="auto"/>
              <w:jc w:val="left"/>
              <w:rPr>
                <w:rFonts w:ascii="Arial" w:hAnsi="Arial" w:cs="Arial"/>
                <w:b/>
                <w:bCs/>
                <w:color w:val="FFFFFF"/>
                <w:sz w:val="20"/>
              </w:rPr>
            </w:pPr>
          </w:p>
        </w:tc>
      </w:tr>
      <w:tr w:rsidR="006E483B" w:rsidRPr="00820A9B" w14:paraId="4EDCE423" w14:textId="77777777" w:rsidTr="007C121F">
        <w:trPr>
          <w:trHeight w:val="230"/>
          <w:jc w:val="center"/>
        </w:trPr>
        <w:tc>
          <w:tcPr>
            <w:tcW w:w="8563" w:type="dxa"/>
            <w:gridSpan w:val="2"/>
            <w:vMerge/>
            <w:shd w:val="clear" w:color="auto" w:fill="000080"/>
            <w:vAlign w:val="center"/>
          </w:tcPr>
          <w:p w14:paraId="04085621" w14:textId="77777777" w:rsidR="006E483B" w:rsidRPr="00820A9B" w:rsidRDefault="006E483B" w:rsidP="00D75382">
            <w:pPr>
              <w:spacing w:line="240" w:lineRule="auto"/>
              <w:jc w:val="left"/>
              <w:rPr>
                <w:rFonts w:ascii="Arial" w:hAnsi="Arial" w:cs="Arial"/>
                <w:b/>
                <w:bCs/>
                <w:color w:val="FFFFFF"/>
                <w:sz w:val="20"/>
              </w:rPr>
            </w:pPr>
          </w:p>
        </w:tc>
      </w:tr>
      <w:tr w:rsidR="000413C9" w:rsidRPr="00820A9B" w14:paraId="1EF676C0" w14:textId="77777777" w:rsidTr="007C121F">
        <w:trPr>
          <w:trHeight w:val="333"/>
          <w:jc w:val="center"/>
        </w:trPr>
        <w:tc>
          <w:tcPr>
            <w:tcW w:w="1093" w:type="dxa"/>
            <w:shd w:val="clear" w:color="auto" w:fill="auto"/>
            <w:noWrap/>
          </w:tcPr>
          <w:p w14:paraId="0B28FCBE" w14:textId="77777777" w:rsidR="000413C9" w:rsidRDefault="000413C9" w:rsidP="001C4516">
            <w:pPr>
              <w:spacing w:before="120" w:line="240" w:lineRule="auto"/>
              <w:jc w:val="center"/>
              <w:rPr>
                <w:rFonts w:ascii="Franklin Gothic Book" w:hAnsi="Franklin Gothic Book" w:cs="Arial"/>
                <w:sz w:val="20"/>
              </w:rPr>
            </w:pPr>
            <w:r>
              <w:rPr>
                <w:rFonts w:ascii="Franklin Gothic Book" w:hAnsi="Franklin Gothic Book" w:cs="Arial"/>
                <w:sz w:val="20"/>
              </w:rPr>
              <w:t>2-1</w:t>
            </w:r>
          </w:p>
        </w:tc>
        <w:tc>
          <w:tcPr>
            <w:tcW w:w="7470" w:type="dxa"/>
            <w:shd w:val="clear" w:color="auto" w:fill="auto"/>
            <w:noWrap/>
          </w:tcPr>
          <w:p w14:paraId="3E74B953" w14:textId="77777777" w:rsidR="000413C9" w:rsidRDefault="000413C9" w:rsidP="00047D2D">
            <w:pPr>
              <w:spacing w:before="120" w:line="240" w:lineRule="auto"/>
              <w:jc w:val="left"/>
              <w:rPr>
                <w:rFonts w:ascii="Franklin Gothic Book" w:hAnsi="Franklin Gothic Book" w:cs="Arial"/>
                <w:sz w:val="20"/>
              </w:rPr>
            </w:pPr>
            <w:r>
              <w:rPr>
                <w:rFonts w:ascii="Franklin Gothic Book" w:hAnsi="Franklin Gothic Book" w:cs="Arial"/>
                <w:sz w:val="20"/>
              </w:rPr>
              <w:t xml:space="preserve">POTW Discharges to </w:t>
            </w:r>
            <w:r w:rsidR="006D57FB">
              <w:rPr>
                <w:rFonts w:ascii="Franklin Gothic Book" w:hAnsi="Franklin Gothic Book" w:cs="Arial"/>
                <w:sz w:val="20"/>
              </w:rPr>
              <w:t xml:space="preserve">the </w:t>
            </w:r>
            <w:r>
              <w:rPr>
                <w:rFonts w:ascii="Franklin Gothic Book" w:hAnsi="Franklin Gothic Book" w:cs="Arial"/>
                <w:sz w:val="20"/>
              </w:rPr>
              <w:t>Temescal Wash</w:t>
            </w:r>
          </w:p>
        </w:tc>
      </w:tr>
      <w:tr w:rsidR="007B26B6" w:rsidRPr="00820A9B" w14:paraId="1745DEA4" w14:textId="77777777" w:rsidTr="00C77D5B">
        <w:trPr>
          <w:trHeight w:val="333"/>
          <w:jc w:val="center"/>
        </w:trPr>
        <w:tc>
          <w:tcPr>
            <w:tcW w:w="1093" w:type="dxa"/>
            <w:shd w:val="clear" w:color="auto" w:fill="auto"/>
            <w:noWrap/>
            <w:vAlign w:val="center"/>
          </w:tcPr>
          <w:p w14:paraId="6574ACCE" w14:textId="09C6FCEC" w:rsidR="007B26B6" w:rsidRPr="00EF5D58" w:rsidRDefault="007B26B6" w:rsidP="007B26B6">
            <w:pPr>
              <w:spacing w:before="120" w:line="240" w:lineRule="auto"/>
              <w:jc w:val="center"/>
              <w:rPr>
                <w:rFonts w:ascii="Franklin Gothic Book" w:hAnsi="Franklin Gothic Book" w:cs="Arial"/>
                <w:sz w:val="20"/>
              </w:rPr>
            </w:pPr>
            <w:r w:rsidRPr="00EF5D58">
              <w:rPr>
                <w:rFonts w:ascii="Franklin Gothic Book" w:hAnsi="Franklin Gothic Book" w:cs="Arial"/>
                <w:sz w:val="20"/>
              </w:rPr>
              <w:t>2-2</w:t>
            </w:r>
          </w:p>
        </w:tc>
        <w:tc>
          <w:tcPr>
            <w:tcW w:w="7470" w:type="dxa"/>
            <w:shd w:val="clear" w:color="auto" w:fill="auto"/>
            <w:noWrap/>
            <w:vAlign w:val="center"/>
          </w:tcPr>
          <w:p w14:paraId="481636EC" w14:textId="2FC8C077" w:rsidR="007B26B6" w:rsidRPr="00EF5D58" w:rsidRDefault="007B26B6" w:rsidP="00D16440">
            <w:pPr>
              <w:spacing w:before="120" w:line="240" w:lineRule="auto"/>
              <w:jc w:val="left"/>
              <w:rPr>
                <w:rFonts w:ascii="Franklin Gothic Book" w:hAnsi="Franklin Gothic Book" w:cs="Arial"/>
                <w:sz w:val="20"/>
              </w:rPr>
            </w:pPr>
            <w:r w:rsidRPr="00EF5D58">
              <w:rPr>
                <w:rFonts w:ascii="Franklin Gothic Book" w:hAnsi="Franklin Gothic Book" w:cs="Arial"/>
                <w:sz w:val="20"/>
              </w:rPr>
              <w:t xml:space="preserve">Monthly Discharge </w:t>
            </w:r>
            <w:r w:rsidR="00D16440" w:rsidRPr="00EF5D58">
              <w:rPr>
                <w:rFonts w:ascii="Franklin Gothic Book" w:hAnsi="Franklin Gothic Book" w:cs="Arial"/>
                <w:sz w:val="20"/>
              </w:rPr>
              <w:t xml:space="preserve">for Temescal Creek near Corona USGS </w:t>
            </w:r>
            <w:r w:rsidRPr="00EF5D58">
              <w:rPr>
                <w:rFonts w:ascii="Franklin Gothic Book" w:hAnsi="Franklin Gothic Book" w:cs="Arial"/>
                <w:sz w:val="20"/>
              </w:rPr>
              <w:t>Stream Gage 11072000: Water Year 1929</w:t>
            </w:r>
            <w:r w:rsidR="00D16440" w:rsidRPr="00EF5D58">
              <w:rPr>
                <w:rFonts w:ascii="Franklin Gothic Book" w:hAnsi="Franklin Gothic Book" w:cs="Arial"/>
                <w:sz w:val="20"/>
              </w:rPr>
              <w:t xml:space="preserve"> to </w:t>
            </w:r>
            <w:r w:rsidRPr="00EF5D58">
              <w:rPr>
                <w:rFonts w:ascii="Franklin Gothic Book" w:hAnsi="Franklin Gothic Book" w:cs="Arial"/>
                <w:sz w:val="20"/>
              </w:rPr>
              <w:t>1979</w:t>
            </w:r>
          </w:p>
        </w:tc>
      </w:tr>
      <w:tr w:rsidR="00367736" w:rsidRPr="00820A9B" w14:paraId="2CC3B055" w14:textId="77777777" w:rsidTr="007C121F">
        <w:trPr>
          <w:trHeight w:val="333"/>
          <w:jc w:val="center"/>
        </w:trPr>
        <w:tc>
          <w:tcPr>
            <w:tcW w:w="1093" w:type="dxa"/>
            <w:shd w:val="clear" w:color="auto" w:fill="auto"/>
            <w:noWrap/>
          </w:tcPr>
          <w:p w14:paraId="7036762B" w14:textId="77777777" w:rsidR="00367736" w:rsidRPr="00EF5D58" w:rsidRDefault="00367736" w:rsidP="00034A75">
            <w:pPr>
              <w:spacing w:before="120" w:line="240" w:lineRule="auto"/>
              <w:jc w:val="center"/>
              <w:rPr>
                <w:rFonts w:ascii="Franklin Gothic Book" w:hAnsi="Franklin Gothic Book" w:cs="Arial"/>
                <w:sz w:val="20"/>
              </w:rPr>
            </w:pPr>
            <w:r w:rsidRPr="00EF5D58">
              <w:rPr>
                <w:rFonts w:ascii="Franklin Gothic Book" w:hAnsi="Franklin Gothic Book" w:cs="Arial"/>
                <w:sz w:val="20"/>
              </w:rPr>
              <w:t>3-1</w:t>
            </w:r>
          </w:p>
        </w:tc>
        <w:tc>
          <w:tcPr>
            <w:tcW w:w="7470" w:type="dxa"/>
            <w:shd w:val="clear" w:color="auto" w:fill="auto"/>
            <w:noWrap/>
          </w:tcPr>
          <w:p w14:paraId="74604854" w14:textId="2DE599E7" w:rsidR="00367736" w:rsidRPr="00EF5D58" w:rsidRDefault="00367736" w:rsidP="00A672E3">
            <w:pPr>
              <w:spacing w:before="120" w:line="240" w:lineRule="auto"/>
              <w:jc w:val="left"/>
              <w:rPr>
                <w:rFonts w:ascii="Franklin Gothic Book" w:hAnsi="Franklin Gothic Book" w:cs="Arial"/>
                <w:sz w:val="20"/>
              </w:rPr>
            </w:pPr>
            <w:r w:rsidRPr="00EF5D58">
              <w:rPr>
                <w:rFonts w:ascii="Franklin Gothic Book" w:hAnsi="Franklin Gothic Book" w:cs="Arial"/>
                <w:sz w:val="20"/>
              </w:rPr>
              <w:t xml:space="preserve">Land Use in the Upper Temescal </w:t>
            </w:r>
            <w:r w:rsidR="001739BF" w:rsidRPr="00EF5D58">
              <w:rPr>
                <w:rFonts w:ascii="Franklin Gothic Book" w:hAnsi="Franklin Gothic Book" w:cs="Arial"/>
                <w:sz w:val="20"/>
              </w:rPr>
              <w:t xml:space="preserve">Valley </w:t>
            </w:r>
            <w:r w:rsidR="005315B9" w:rsidRPr="00EF5D58">
              <w:rPr>
                <w:rFonts w:ascii="Franklin Gothic Book" w:hAnsi="Franklin Gothic Book" w:cs="Arial"/>
                <w:sz w:val="20"/>
              </w:rPr>
              <w:t>Watershed</w:t>
            </w:r>
            <w:r w:rsidR="004F29BF" w:rsidRPr="00EF5D58">
              <w:rPr>
                <w:rFonts w:ascii="Franklin Gothic Book" w:hAnsi="Franklin Gothic Book" w:cs="Arial"/>
                <w:sz w:val="20"/>
              </w:rPr>
              <w:t xml:space="preserve"> </w:t>
            </w:r>
          </w:p>
        </w:tc>
      </w:tr>
      <w:tr w:rsidR="00367736" w:rsidRPr="00820A9B" w14:paraId="69B1F827" w14:textId="77777777" w:rsidTr="007C121F">
        <w:trPr>
          <w:trHeight w:val="333"/>
          <w:jc w:val="center"/>
        </w:trPr>
        <w:tc>
          <w:tcPr>
            <w:tcW w:w="1093" w:type="dxa"/>
            <w:shd w:val="clear" w:color="auto" w:fill="auto"/>
            <w:noWrap/>
          </w:tcPr>
          <w:p w14:paraId="6A50836B" w14:textId="77777777" w:rsidR="00367736" w:rsidRPr="00EF5D58" w:rsidRDefault="00367736" w:rsidP="00034A75">
            <w:pPr>
              <w:spacing w:before="120" w:line="240" w:lineRule="auto"/>
              <w:jc w:val="center"/>
              <w:rPr>
                <w:rFonts w:ascii="Franklin Gothic Book" w:hAnsi="Franklin Gothic Book" w:cs="Arial"/>
                <w:sz w:val="20"/>
              </w:rPr>
            </w:pPr>
            <w:r w:rsidRPr="00EF5D58">
              <w:rPr>
                <w:rFonts w:ascii="Franklin Gothic Book" w:hAnsi="Franklin Gothic Book" w:cs="Arial"/>
                <w:sz w:val="20"/>
              </w:rPr>
              <w:t>3-2</w:t>
            </w:r>
          </w:p>
        </w:tc>
        <w:tc>
          <w:tcPr>
            <w:tcW w:w="7470" w:type="dxa"/>
            <w:shd w:val="clear" w:color="auto" w:fill="auto"/>
            <w:noWrap/>
          </w:tcPr>
          <w:p w14:paraId="2DCE9835" w14:textId="5C4E06D6" w:rsidR="00367736" w:rsidRPr="00EF5D58" w:rsidRDefault="00367736" w:rsidP="00A672E3">
            <w:pPr>
              <w:spacing w:before="120" w:line="240" w:lineRule="auto"/>
              <w:jc w:val="left"/>
              <w:rPr>
                <w:rFonts w:ascii="Franklin Gothic Book" w:hAnsi="Franklin Gothic Book" w:cs="Arial"/>
                <w:sz w:val="20"/>
              </w:rPr>
            </w:pPr>
            <w:r w:rsidRPr="00EF5D58">
              <w:rPr>
                <w:rFonts w:ascii="Franklin Gothic Book" w:hAnsi="Franklin Gothic Book" w:cs="Arial"/>
                <w:sz w:val="20"/>
              </w:rPr>
              <w:t xml:space="preserve">Land Use and Return Flows in the Upper Temescal </w:t>
            </w:r>
            <w:r w:rsidR="001739BF" w:rsidRPr="00EF5D58">
              <w:rPr>
                <w:rFonts w:ascii="Franklin Gothic Book" w:hAnsi="Franklin Gothic Book" w:cs="Arial"/>
                <w:sz w:val="20"/>
              </w:rPr>
              <w:t xml:space="preserve">Valley </w:t>
            </w:r>
            <w:r w:rsidR="005315B9" w:rsidRPr="00EF5D58">
              <w:rPr>
                <w:rFonts w:ascii="Franklin Gothic Book" w:hAnsi="Franklin Gothic Book" w:cs="Arial"/>
                <w:sz w:val="20"/>
              </w:rPr>
              <w:t>Watershed</w:t>
            </w:r>
          </w:p>
        </w:tc>
      </w:tr>
      <w:tr w:rsidR="00367736" w:rsidRPr="00820A9B" w14:paraId="44544D8A" w14:textId="77777777" w:rsidTr="007C121F">
        <w:trPr>
          <w:trHeight w:val="333"/>
          <w:jc w:val="center"/>
        </w:trPr>
        <w:tc>
          <w:tcPr>
            <w:tcW w:w="1093" w:type="dxa"/>
            <w:shd w:val="clear" w:color="auto" w:fill="auto"/>
            <w:noWrap/>
          </w:tcPr>
          <w:p w14:paraId="6B89D445" w14:textId="77777777" w:rsidR="00367736" w:rsidRPr="00EF5D58" w:rsidRDefault="00367736" w:rsidP="00367736">
            <w:pPr>
              <w:spacing w:before="120" w:line="240" w:lineRule="auto"/>
              <w:jc w:val="center"/>
              <w:rPr>
                <w:rFonts w:ascii="Franklin Gothic Book" w:hAnsi="Franklin Gothic Book" w:cs="Arial"/>
                <w:sz w:val="20"/>
              </w:rPr>
            </w:pPr>
            <w:r w:rsidRPr="00EF5D58">
              <w:rPr>
                <w:rFonts w:ascii="Franklin Gothic Book" w:hAnsi="Franklin Gothic Book" w:cs="Arial"/>
                <w:sz w:val="20"/>
              </w:rPr>
              <w:t>3-3</w:t>
            </w:r>
          </w:p>
        </w:tc>
        <w:tc>
          <w:tcPr>
            <w:tcW w:w="7470" w:type="dxa"/>
            <w:shd w:val="clear" w:color="auto" w:fill="auto"/>
            <w:noWrap/>
          </w:tcPr>
          <w:p w14:paraId="21A14EAF" w14:textId="41B66E8B" w:rsidR="00367736" w:rsidRPr="00EF5D58" w:rsidRDefault="00367736" w:rsidP="00ED2199">
            <w:pPr>
              <w:spacing w:before="120" w:line="240" w:lineRule="auto"/>
              <w:jc w:val="left"/>
              <w:rPr>
                <w:rFonts w:ascii="Franklin Gothic Book" w:hAnsi="Franklin Gothic Book" w:cs="Arial"/>
                <w:sz w:val="20"/>
              </w:rPr>
            </w:pPr>
            <w:r w:rsidRPr="00EF5D58">
              <w:rPr>
                <w:rFonts w:ascii="Franklin Gothic Book" w:hAnsi="Franklin Gothic Book" w:cs="Arial"/>
                <w:sz w:val="20"/>
              </w:rPr>
              <w:t xml:space="preserve">Exceedance of Drinking Water Maximum Contaminant Levels in </w:t>
            </w:r>
            <w:r w:rsidR="006D57FB" w:rsidRPr="00EF5D58">
              <w:rPr>
                <w:rFonts w:ascii="Franklin Gothic Book" w:hAnsi="Franklin Gothic Book" w:cs="Arial"/>
                <w:sz w:val="20"/>
              </w:rPr>
              <w:t xml:space="preserve">the </w:t>
            </w:r>
            <w:r w:rsidRPr="00EF5D58">
              <w:rPr>
                <w:rFonts w:ascii="Franklin Gothic Book" w:hAnsi="Franklin Gothic Book" w:cs="Arial"/>
                <w:sz w:val="20"/>
              </w:rPr>
              <w:t>Bedford Basin</w:t>
            </w:r>
            <w:r w:rsidR="001739BF" w:rsidRPr="00EF5D58">
              <w:rPr>
                <w:rFonts w:ascii="Franklin Gothic Book" w:hAnsi="Franklin Gothic Book" w:cs="Arial"/>
                <w:sz w:val="20"/>
              </w:rPr>
              <w:t xml:space="preserve"> </w:t>
            </w:r>
            <w:r w:rsidRPr="00EF5D58">
              <w:rPr>
                <w:rFonts w:ascii="Franklin Gothic Book" w:hAnsi="Franklin Gothic Book" w:cs="Arial"/>
                <w:sz w:val="20"/>
              </w:rPr>
              <w:t>Groundwater Wells: 2009 to 2014</w:t>
            </w:r>
          </w:p>
        </w:tc>
      </w:tr>
      <w:tr w:rsidR="00367736" w:rsidRPr="00820A9B" w14:paraId="2DA78F51" w14:textId="77777777" w:rsidTr="007C121F">
        <w:trPr>
          <w:trHeight w:val="333"/>
          <w:jc w:val="center"/>
        </w:trPr>
        <w:tc>
          <w:tcPr>
            <w:tcW w:w="1093" w:type="dxa"/>
            <w:shd w:val="clear" w:color="auto" w:fill="auto"/>
            <w:noWrap/>
          </w:tcPr>
          <w:p w14:paraId="712F8949" w14:textId="11B93238" w:rsidR="00367736" w:rsidRPr="00EF5D58" w:rsidRDefault="00006008" w:rsidP="00D75382">
            <w:pPr>
              <w:spacing w:before="120" w:line="240" w:lineRule="auto"/>
              <w:jc w:val="center"/>
              <w:rPr>
                <w:rFonts w:ascii="Franklin Gothic Book" w:hAnsi="Franklin Gothic Book" w:cs="Arial"/>
                <w:sz w:val="20"/>
              </w:rPr>
            </w:pPr>
            <w:r w:rsidRPr="00EF5D58">
              <w:rPr>
                <w:rFonts w:ascii="Franklin Gothic Book" w:hAnsi="Franklin Gothic Book" w:cs="Arial"/>
                <w:sz w:val="20"/>
              </w:rPr>
              <w:t>5-1</w:t>
            </w:r>
          </w:p>
        </w:tc>
        <w:tc>
          <w:tcPr>
            <w:tcW w:w="7470" w:type="dxa"/>
            <w:shd w:val="clear" w:color="auto" w:fill="auto"/>
            <w:noWrap/>
          </w:tcPr>
          <w:p w14:paraId="47B2B3C6" w14:textId="6073349F" w:rsidR="00367736" w:rsidRPr="00EF5D58" w:rsidRDefault="00006008" w:rsidP="00D75382">
            <w:pPr>
              <w:spacing w:before="120" w:line="240" w:lineRule="auto"/>
              <w:jc w:val="left"/>
              <w:rPr>
                <w:rFonts w:ascii="Franklin Gothic Book" w:hAnsi="Franklin Gothic Book" w:cs="Arial"/>
                <w:sz w:val="20"/>
              </w:rPr>
            </w:pPr>
            <w:r w:rsidRPr="00EF5D58">
              <w:rPr>
                <w:rFonts w:ascii="Franklin Gothic Book" w:hAnsi="Franklin Gothic Book" w:cs="Arial"/>
                <w:sz w:val="20"/>
              </w:rPr>
              <w:t xml:space="preserve">Selected Well Information for </w:t>
            </w:r>
            <w:r w:rsidR="00CB364A" w:rsidRPr="00EF5D58">
              <w:rPr>
                <w:rFonts w:ascii="Franklin Gothic Book" w:hAnsi="Franklin Gothic Book" w:cs="Arial"/>
                <w:sz w:val="20"/>
              </w:rPr>
              <w:t xml:space="preserve">Suggested </w:t>
            </w:r>
            <w:r w:rsidRPr="00EF5D58">
              <w:rPr>
                <w:rFonts w:ascii="Franklin Gothic Book" w:hAnsi="Franklin Gothic Book" w:cs="Arial"/>
                <w:sz w:val="20"/>
              </w:rPr>
              <w:t>Groundwater Monitoring in the Bedford Basin</w:t>
            </w:r>
          </w:p>
        </w:tc>
      </w:tr>
      <w:tr w:rsidR="00367736" w:rsidRPr="00820A9B" w14:paraId="52EE8A57" w14:textId="77777777" w:rsidTr="006E483B">
        <w:trPr>
          <w:trHeight w:val="333"/>
          <w:jc w:val="center"/>
        </w:trPr>
        <w:tc>
          <w:tcPr>
            <w:tcW w:w="1093" w:type="dxa"/>
            <w:shd w:val="clear" w:color="auto" w:fill="auto"/>
            <w:noWrap/>
          </w:tcPr>
          <w:p w14:paraId="1031EED8" w14:textId="77777777" w:rsidR="00367736" w:rsidRDefault="00367736" w:rsidP="00D75382">
            <w:pPr>
              <w:spacing w:before="120" w:line="240" w:lineRule="auto"/>
              <w:jc w:val="center"/>
              <w:rPr>
                <w:rFonts w:ascii="Franklin Gothic Book" w:hAnsi="Franklin Gothic Book" w:cs="Arial"/>
                <w:sz w:val="20"/>
              </w:rPr>
            </w:pPr>
          </w:p>
        </w:tc>
        <w:tc>
          <w:tcPr>
            <w:tcW w:w="7470" w:type="dxa"/>
            <w:shd w:val="clear" w:color="auto" w:fill="auto"/>
            <w:noWrap/>
          </w:tcPr>
          <w:p w14:paraId="66A494D5" w14:textId="77777777" w:rsidR="00367736" w:rsidRDefault="00367736" w:rsidP="00D75382">
            <w:pPr>
              <w:spacing w:before="120" w:line="240" w:lineRule="auto"/>
              <w:jc w:val="left"/>
              <w:rPr>
                <w:rFonts w:ascii="Franklin Gothic Book" w:hAnsi="Franklin Gothic Book" w:cs="Arial"/>
                <w:sz w:val="20"/>
              </w:rPr>
            </w:pPr>
          </w:p>
        </w:tc>
      </w:tr>
    </w:tbl>
    <w:p w14:paraId="243E1914" w14:textId="77777777" w:rsidR="004123FA" w:rsidRDefault="004123FA" w:rsidP="00D75382">
      <w:pPr>
        <w:spacing w:line="240" w:lineRule="auto"/>
        <w:jc w:val="center"/>
        <w:rPr>
          <w:rFonts w:ascii="Franklin Gothic Heavy" w:hAnsi="Franklin Gothic Heavy" w:cs="Arial"/>
          <w:bCs/>
          <w:color w:val="002060"/>
          <w:sz w:val="24"/>
          <w:szCs w:val="24"/>
        </w:rPr>
      </w:pPr>
      <w:r>
        <w:rPr>
          <w:rFonts w:ascii="Franklin Gothic Heavy" w:hAnsi="Franklin Gothic Heavy" w:cs="Arial"/>
          <w:bCs/>
          <w:color w:val="002060"/>
          <w:sz w:val="24"/>
          <w:szCs w:val="24"/>
        </w:rPr>
        <w:br w:type="page"/>
      </w:r>
    </w:p>
    <w:p w14:paraId="7D54D633" w14:textId="77777777" w:rsidR="006E483B" w:rsidRDefault="006E483B" w:rsidP="00D75382">
      <w:pPr>
        <w:spacing w:line="240" w:lineRule="auto"/>
        <w:jc w:val="center"/>
        <w:rPr>
          <w:rFonts w:ascii="Franklin Gothic Heavy" w:hAnsi="Franklin Gothic Heavy" w:cs="Arial"/>
          <w:bCs/>
          <w:color w:val="002060"/>
          <w:sz w:val="24"/>
          <w:szCs w:val="24"/>
        </w:rPr>
      </w:pPr>
    </w:p>
    <w:tbl>
      <w:tblPr>
        <w:tblW w:w="8563" w:type="dxa"/>
        <w:jc w:val="center"/>
        <w:tblLook w:val="04A0" w:firstRow="1" w:lastRow="0" w:firstColumn="1" w:lastColumn="0" w:noHBand="0" w:noVBand="1"/>
      </w:tblPr>
      <w:tblGrid>
        <w:gridCol w:w="12"/>
        <w:gridCol w:w="1081"/>
        <w:gridCol w:w="7470"/>
      </w:tblGrid>
      <w:tr w:rsidR="006E483B" w:rsidRPr="00820A9B" w14:paraId="34B47C07" w14:textId="77777777" w:rsidTr="0035127C">
        <w:trPr>
          <w:trHeight w:val="290"/>
          <w:tblHeader/>
          <w:jc w:val="center"/>
        </w:trPr>
        <w:tc>
          <w:tcPr>
            <w:tcW w:w="8563" w:type="dxa"/>
            <w:gridSpan w:val="3"/>
            <w:vMerge w:val="restart"/>
            <w:shd w:val="clear" w:color="auto" w:fill="000080"/>
            <w:noWrap/>
            <w:vAlign w:val="center"/>
          </w:tcPr>
          <w:p w14:paraId="3AAA5CBC" w14:textId="77777777" w:rsidR="006E483B" w:rsidRPr="00940E10" w:rsidRDefault="006E483B" w:rsidP="00D75382">
            <w:pPr>
              <w:spacing w:line="240" w:lineRule="auto"/>
              <w:jc w:val="center"/>
              <w:rPr>
                <w:rFonts w:ascii="Franklin Gothic Heavy" w:hAnsi="Franklin Gothic Heavy" w:cs="Arial"/>
                <w:bCs/>
                <w:color w:val="FFFFFF"/>
                <w:sz w:val="24"/>
                <w:szCs w:val="24"/>
              </w:rPr>
            </w:pPr>
            <w:r>
              <w:rPr>
                <w:noProof/>
              </w:rPr>
              <w:br w:type="page"/>
            </w:r>
            <w:r>
              <w:br w:type="page"/>
            </w:r>
            <w:r w:rsidRPr="00940E10">
              <w:rPr>
                <w:rFonts w:ascii="Franklin Gothic Heavy" w:hAnsi="Franklin Gothic Heavy" w:cs="Arial"/>
                <w:bCs/>
                <w:color w:val="FFFFFF"/>
                <w:sz w:val="24"/>
                <w:szCs w:val="24"/>
              </w:rPr>
              <w:t xml:space="preserve">List </w:t>
            </w:r>
            <w:r w:rsidRPr="002D7097">
              <w:rPr>
                <w:rFonts w:ascii="Franklin Gothic Heavy" w:hAnsi="Franklin Gothic Heavy" w:cs="Arial"/>
                <w:bCs/>
                <w:color w:val="FFFFFF"/>
                <w:sz w:val="24"/>
                <w:szCs w:val="24"/>
              </w:rPr>
              <w:t>of Figures</w:t>
            </w:r>
          </w:p>
        </w:tc>
      </w:tr>
      <w:tr w:rsidR="006E483B" w:rsidRPr="00820A9B" w14:paraId="23319AED" w14:textId="77777777" w:rsidTr="004123FA">
        <w:trPr>
          <w:trHeight w:val="230"/>
          <w:tblHeader/>
          <w:jc w:val="center"/>
        </w:trPr>
        <w:tc>
          <w:tcPr>
            <w:tcW w:w="8563" w:type="dxa"/>
            <w:gridSpan w:val="3"/>
            <w:vMerge/>
            <w:shd w:val="clear" w:color="auto" w:fill="000080"/>
            <w:vAlign w:val="center"/>
          </w:tcPr>
          <w:p w14:paraId="0B06E952" w14:textId="77777777" w:rsidR="006E483B" w:rsidRPr="00820A9B" w:rsidRDefault="006E483B" w:rsidP="00D75382">
            <w:pPr>
              <w:spacing w:line="240" w:lineRule="auto"/>
              <w:jc w:val="left"/>
              <w:rPr>
                <w:rFonts w:ascii="Arial" w:hAnsi="Arial" w:cs="Arial"/>
                <w:b/>
                <w:bCs/>
                <w:color w:val="FFFFFF"/>
                <w:sz w:val="20"/>
              </w:rPr>
            </w:pPr>
          </w:p>
        </w:tc>
      </w:tr>
      <w:tr w:rsidR="006E483B" w:rsidRPr="00820A9B" w14:paraId="4A609EFB" w14:textId="77777777" w:rsidTr="0023243C">
        <w:trPr>
          <w:trHeight w:val="230"/>
          <w:tblHeader/>
          <w:jc w:val="center"/>
        </w:trPr>
        <w:tc>
          <w:tcPr>
            <w:tcW w:w="8563" w:type="dxa"/>
            <w:gridSpan w:val="3"/>
            <w:vMerge/>
            <w:shd w:val="clear" w:color="auto" w:fill="000080"/>
            <w:vAlign w:val="center"/>
          </w:tcPr>
          <w:p w14:paraId="4111290D" w14:textId="77777777" w:rsidR="006E483B" w:rsidRPr="00820A9B" w:rsidRDefault="006E483B" w:rsidP="00D75382">
            <w:pPr>
              <w:spacing w:line="240" w:lineRule="auto"/>
              <w:jc w:val="left"/>
              <w:rPr>
                <w:rFonts w:ascii="Arial" w:hAnsi="Arial" w:cs="Arial"/>
                <w:b/>
                <w:bCs/>
                <w:color w:val="FFFFFF"/>
                <w:sz w:val="20"/>
              </w:rPr>
            </w:pPr>
          </w:p>
        </w:tc>
      </w:tr>
      <w:tr w:rsidR="00D92075" w:rsidRPr="00820A9B" w14:paraId="3C8B8134" w14:textId="77777777" w:rsidTr="0023243C">
        <w:trPr>
          <w:trHeight w:val="333"/>
          <w:tblHeader/>
          <w:jc w:val="center"/>
        </w:trPr>
        <w:tc>
          <w:tcPr>
            <w:tcW w:w="1093" w:type="dxa"/>
            <w:gridSpan w:val="2"/>
            <w:shd w:val="clear" w:color="auto" w:fill="auto"/>
            <w:noWrap/>
          </w:tcPr>
          <w:p w14:paraId="77BFD30E" w14:textId="77777777" w:rsidR="00D92075" w:rsidRPr="00EF5D58" w:rsidRDefault="00D92075" w:rsidP="00D75382">
            <w:pPr>
              <w:spacing w:before="120" w:line="240" w:lineRule="auto"/>
              <w:jc w:val="center"/>
              <w:rPr>
                <w:rFonts w:ascii="Franklin Gothic Book" w:hAnsi="Franklin Gothic Book" w:cs="Arial"/>
                <w:sz w:val="20"/>
              </w:rPr>
            </w:pPr>
            <w:r w:rsidRPr="00EF5D58">
              <w:rPr>
                <w:rFonts w:ascii="Franklin Gothic Book" w:hAnsi="Franklin Gothic Book" w:cs="Arial"/>
                <w:sz w:val="20"/>
              </w:rPr>
              <w:t>1-1</w:t>
            </w:r>
          </w:p>
        </w:tc>
        <w:tc>
          <w:tcPr>
            <w:tcW w:w="7470" w:type="dxa"/>
            <w:shd w:val="clear" w:color="auto" w:fill="auto"/>
            <w:noWrap/>
          </w:tcPr>
          <w:p w14:paraId="1510B20E" w14:textId="77777777" w:rsidR="00D92075" w:rsidRPr="00EF5D58" w:rsidRDefault="00D92075" w:rsidP="00CD3FA1">
            <w:pPr>
              <w:spacing w:before="120" w:line="240" w:lineRule="auto"/>
              <w:jc w:val="left"/>
              <w:rPr>
                <w:rFonts w:ascii="Franklin Gothic Book" w:hAnsi="Franklin Gothic Book" w:cs="Arial"/>
                <w:sz w:val="20"/>
              </w:rPr>
            </w:pPr>
            <w:r w:rsidRPr="00EF5D58">
              <w:rPr>
                <w:rFonts w:ascii="Franklin Gothic Book" w:hAnsi="Franklin Gothic Book" w:cs="Arial"/>
                <w:sz w:val="20"/>
              </w:rPr>
              <w:t>The Bedford Basin and Tributary Watersheds</w:t>
            </w:r>
          </w:p>
        </w:tc>
      </w:tr>
      <w:tr w:rsidR="00D92075" w:rsidRPr="00820A9B" w14:paraId="468B8935" w14:textId="77777777" w:rsidTr="0023243C">
        <w:trPr>
          <w:trHeight w:val="333"/>
          <w:tblHeader/>
          <w:jc w:val="center"/>
        </w:trPr>
        <w:tc>
          <w:tcPr>
            <w:tcW w:w="1093" w:type="dxa"/>
            <w:gridSpan w:val="2"/>
            <w:shd w:val="clear" w:color="auto" w:fill="auto"/>
            <w:noWrap/>
          </w:tcPr>
          <w:p w14:paraId="4EE8719F" w14:textId="77777777" w:rsidR="00D92075" w:rsidRPr="00EF5D58" w:rsidRDefault="00D92075" w:rsidP="00CD533F">
            <w:pPr>
              <w:spacing w:before="120" w:line="240" w:lineRule="auto"/>
              <w:jc w:val="center"/>
              <w:rPr>
                <w:rFonts w:ascii="Franklin Gothic Book" w:hAnsi="Franklin Gothic Book" w:cs="Arial"/>
                <w:sz w:val="20"/>
              </w:rPr>
            </w:pPr>
            <w:r w:rsidRPr="00EF5D58">
              <w:rPr>
                <w:rFonts w:ascii="Franklin Gothic Book" w:hAnsi="Franklin Gothic Book" w:cs="Arial"/>
                <w:sz w:val="20"/>
              </w:rPr>
              <w:t>1-2</w:t>
            </w:r>
          </w:p>
        </w:tc>
        <w:tc>
          <w:tcPr>
            <w:tcW w:w="7470" w:type="dxa"/>
            <w:shd w:val="clear" w:color="auto" w:fill="auto"/>
            <w:noWrap/>
          </w:tcPr>
          <w:p w14:paraId="465BB069" w14:textId="77777777" w:rsidR="00D92075" w:rsidRPr="00EF5D58" w:rsidRDefault="00D92075" w:rsidP="00D75382">
            <w:pPr>
              <w:spacing w:before="120" w:line="240" w:lineRule="auto"/>
              <w:jc w:val="left"/>
              <w:rPr>
                <w:rFonts w:ascii="Franklin Gothic Book" w:hAnsi="Franklin Gothic Book" w:cs="Arial"/>
                <w:sz w:val="20"/>
              </w:rPr>
            </w:pPr>
            <w:r w:rsidRPr="00EF5D58">
              <w:rPr>
                <w:rFonts w:ascii="Franklin Gothic Book" w:hAnsi="Franklin Gothic Book" w:cs="Arial"/>
                <w:sz w:val="20"/>
              </w:rPr>
              <w:t>2014 Aerial Photograph of the Bedford Basin</w:t>
            </w:r>
          </w:p>
        </w:tc>
      </w:tr>
      <w:tr w:rsidR="00D92075" w:rsidRPr="00820A9B" w14:paraId="0419323F" w14:textId="77777777" w:rsidTr="0023243C">
        <w:trPr>
          <w:trHeight w:val="333"/>
          <w:tblHeader/>
          <w:jc w:val="center"/>
        </w:trPr>
        <w:tc>
          <w:tcPr>
            <w:tcW w:w="1093" w:type="dxa"/>
            <w:gridSpan w:val="2"/>
            <w:shd w:val="clear" w:color="auto" w:fill="auto"/>
            <w:noWrap/>
          </w:tcPr>
          <w:p w14:paraId="721B80A8" w14:textId="77777777" w:rsidR="00D92075" w:rsidRPr="00EF5D58" w:rsidRDefault="00D92075" w:rsidP="00CD533F">
            <w:pPr>
              <w:spacing w:before="120" w:line="240" w:lineRule="auto"/>
              <w:jc w:val="center"/>
              <w:rPr>
                <w:rFonts w:ascii="Franklin Gothic Book" w:hAnsi="Franklin Gothic Book" w:cs="Arial"/>
                <w:sz w:val="20"/>
              </w:rPr>
            </w:pPr>
            <w:r w:rsidRPr="00EF5D58">
              <w:rPr>
                <w:rFonts w:ascii="Franklin Gothic Book" w:hAnsi="Franklin Gothic Book" w:cs="Arial"/>
                <w:sz w:val="20"/>
              </w:rPr>
              <w:t>2-1</w:t>
            </w:r>
          </w:p>
        </w:tc>
        <w:tc>
          <w:tcPr>
            <w:tcW w:w="7470" w:type="dxa"/>
            <w:shd w:val="clear" w:color="auto" w:fill="auto"/>
            <w:noWrap/>
          </w:tcPr>
          <w:p w14:paraId="24239509" w14:textId="70A9ED3A" w:rsidR="00D92075" w:rsidRPr="00EF5D58" w:rsidRDefault="00D92075" w:rsidP="00D92075">
            <w:pPr>
              <w:spacing w:before="120" w:line="240" w:lineRule="auto"/>
              <w:jc w:val="left"/>
              <w:rPr>
                <w:rFonts w:ascii="Franklin Gothic Book" w:hAnsi="Franklin Gothic Book"/>
                <w:sz w:val="20"/>
              </w:rPr>
            </w:pPr>
            <w:r w:rsidRPr="00EF5D58">
              <w:rPr>
                <w:rFonts w:ascii="Franklin Gothic Book" w:hAnsi="Franklin Gothic Book" w:cs="Arial"/>
                <w:sz w:val="20"/>
              </w:rPr>
              <w:t xml:space="preserve">Annual Precipitation and Cumulative Departure from Mean Precipitation – Station </w:t>
            </w:r>
            <w:r w:rsidR="000003D7" w:rsidRPr="00EF5D58">
              <w:rPr>
                <w:rFonts w:ascii="Franklin Gothic Book" w:hAnsi="Franklin Gothic Book" w:cs="Arial"/>
                <w:sz w:val="20"/>
              </w:rPr>
              <w:t>Elsinore</w:t>
            </w:r>
            <w:r w:rsidRPr="00EF5D58">
              <w:rPr>
                <w:rFonts w:ascii="Franklin Gothic Book" w:hAnsi="Franklin Gothic Book" w:cs="Arial"/>
                <w:sz w:val="20"/>
              </w:rPr>
              <w:t xml:space="preserve"> 0</w:t>
            </w:r>
            <w:r w:rsidR="000003D7" w:rsidRPr="00EF5D58">
              <w:rPr>
                <w:rFonts w:ascii="Franklin Gothic Book" w:hAnsi="Franklin Gothic Book" w:cs="Arial"/>
                <w:sz w:val="20"/>
              </w:rPr>
              <w:t>67</w:t>
            </w:r>
          </w:p>
        </w:tc>
      </w:tr>
      <w:tr w:rsidR="00487C97" w:rsidRPr="00820A9B" w14:paraId="2B1D0B5F" w14:textId="77777777" w:rsidTr="00487C97">
        <w:trPr>
          <w:trHeight w:val="333"/>
          <w:tblHeader/>
          <w:jc w:val="center"/>
        </w:trPr>
        <w:tc>
          <w:tcPr>
            <w:tcW w:w="1093" w:type="dxa"/>
            <w:gridSpan w:val="2"/>
            <w:shd w:val="clear" w:color="auto" w:fill="auto"/>
            <w:noWrap/>
            <w:vAlign w:val="center"/>
          </w:tcPr>
          <w:p w14:paraId="6F472124" w14:textId="50DD2BD5" w:rsidR="00487C97" w:rsidRPr="00EF5D58" w:rsidRDefault="00487C97" w:rsidP="00487C97">
            <w:pPr>
              <w:spacing w:before="120" w:line="240" w:lineRule="auto"/>
              <w:jc w:val="center"/>
              <w:rPr>
                <w:rFonts w:ascii="Franklin Gothic Book" w:hAnsi="Franklin Gothic Book" w:cs="Arial"/>
                <w:sz w:val="20"/>
              </w:rPr>
            </w:pPr>
            <w:r w:rsidRPr="00EF5D58">
              <w:rPr>
                <w:rFonts w:ascii="Franklin Gothic Book" w:hAnsi="Franklin Gothic Book" w:cs="Arial"/>
                <w:sz w:val="20"/>
              </w:rPr>
              <w:t>2-2</w:t>
            </w:r>
          </w:p>
        </w:tc>
        <w:tc>
          <w:tcPr>
            <w:tcW w:w="7470" w:type="dxa"/>
            <w:shd w:val="clear" w:color="auto" w:fill="auto"/>
            <w:noWrap/>
            <w:vAlign w:val="center"/>
          </w:tcPr>
          <w:p w14:paraId="16CF55D8" w14:textId="50E2E6A1" w:rsidR="00487C97" w:rsidRPr="00EF5D58" w:rsidRDefault="00487C97" w:rsidP="00D16440">
            <w:pPr>
              <w:spacing w:before="120" w:line="240" w:lineRule="auto"/>
              <w:jc w:val="left"/>
              <w:rPr>
                <w:rFonts w:ascii="Franklin Gothic Book" w:hAnsi="Franklin Gothic Book" w:cs="Arial"/>
                <w:sz w:val="20"/>
              </w:rPr>
            </w:pPr>
            <w:r w:rsidRPr="00EF5D58">
              <w:rPr>
                <w:rFonts w:ascii="Franklin Gothic Book" w:hAnsi="Franklin Gothic Book" w:cs="Arial"/>
                <w:sz w:val="20"/>
              </w:rPr>
              <w:t xml:space="preserve">Daily Discharge </w:t>
            </w:r>
            <w:r w:rsidR="00A071BA" w:rsidRPr="00EF5D58">
              <w:rPr>
                <w:rFonts w:ascii="Franklin Gothic Book" w:hAnsi="Franklin Gothic Book" w:cs="Arial"/>
                <w:sz w:val="20"/>
              </w:rPr>
              <w:t xml:space="preserve">for Temescal Creek </w:t>
            </w:r>
            <w:r w:rsidR="00D16440" w:rsidRPr="00EF5D58">
              <w:rPr>
                <w:rFonts w:ascii="Franklin Gothic Book" w:hAnsi="Franklin Gothic Book" w:cs="Arial"/>
                <w:sz w:val="20"/>
              </w:rPr>
              <w:t>n</w:t>
            </w:r>
            <w:r w:rsidR="00A071BA" w:rsidRPr="00EF5D58">
              <w:rPr>
                <w:rFonts w:ascii="Franklin Gothic Book" w:hAnsi="Franklin Gothic Book" w:cs="Arial"/>
                <w:sz w:val="20"/>
              </w:rPr>
              <w:t xml:space="preserve">ear Corona </w:t>
            </w:r>
            <w:r w:rsidRPr="00EF5D58">
              <w:rPr>
                <w:rFonts w:ascii="Franklin Gothic Book" w:hAnsi="Franklin Gothic Book" w:cs="Arial"/>
                <w:sz w:val="20"/>
              </w:rPr>
              <w:t xml:space="preserve">USGS Stream-Gage 11072000: Water Year 1929 </w:t>
            </w:r>
            <w:r w:rsidR="00D16440" w:rsidRPr="00EF5D58">
              <w:rPr>
                <w:rFonts w:ascii="Franklin Gothic Book" w:hAnsi="Franklin Gothic Book" w:cs="Arial"/>
                <w:sz w:val="20"/>
              </w:rPr>
              <w:t>to</w:t>
            </w:r>
            <w:r w:rsidRPr="00EF5D58">
              <w:rPr>
                <w:rFonts w:ascii="Franklin Gothic Book" w:hAnsi="Franklin Gothic Book" w:cs="Arial"/>
                <w:sz w:val="20"/>
              </w:rPr>
              <w:t xml:space="preserve"> 1979</w:t>
            </w:r>
          </w:p>
        </w:tc>
      </w:tr>
      <w:tr w:rsidR="00A071BA" w:rsidRPr="00820A9B" w14:paraId="491E1520" w14:textId="77777777" w:rsidTr="00A071BA">
        <w:trPr>
          <w:trHeight w:val="333"/>
          <w:tblHeader/>
          <w:jc w:val="center"/>
        </w:trPr>
        <w:tc>
          <w:tcPr>
            <w:tcW w:w="1093" w:type="dxa"/>
            <w:gridSpan w:val="2"/>
            <w:shd w:val="clear" w:color="auto" w:fill="auto"/>
            <w:noWrap/>
            <w:vAlign w:val="center"/>
          </w:tcPr>
          <w:p w14:paraId="3BB0D532" w14:textId="489EB069" w:rsidR="00A071BA" w:rsidRPr="00EF5D58" w:rsidRDefault="00A071BA" w:rsidP="00A071BA">
            <w:pPr>
              <w:spacing w:before="120" w:line="240" w:lineRule="auto"/>
              <w:jc w:val="center"/>
              <w:rPr>
                <w:rFonts w:ascii="Franklin Gothic Book" w:hAnsi="Franklin Gothic Book" w:cs="Arial"/>
                <w:sz w:val="20"/>
              </w:rPr>
            </w:pPr>
            <w:r w:rsidRPr="00EF5D58">
              <w:rPr>
                <w:rFonts w:ascii="Franklin Gothic Book" w:hAnsi="Franklin Gothic Book" w:cs="Arial"/>
                <w:sz w:val="20"/>
              </w:rPr>
              <w:t>2-3</w:t>
            </w:r>
          </w:p>
        </w:tc>
        <w:tc>
          <w:tcPr>
            <w:tcW w:w="7470" w:type="dxa"/>
            <w:shd w:val="clear" w:color="auto" w:fill="auto"/>
            <w:noWrap/>
            <w:vAlign w:val="center"/>
          </w:tcPr>
          <w:p w14:paraId="09EFA1C7" w14:textId="28C75756" w:rsidR="00A071BA" w:rsidRPr="00EF5D58" w:rsidRDefault="00A071BA" w:rsidP="00D16440">
            <w:pPr>
              <w:spacing w:before="120" w:line="240" w:lineRule="auto"/>
              <w:jc w:val="left"/>
              <w:rPr>
                <w:rFonts w:ascii="Franklin Gothic Book" w:hAnsi="Franklin Gothic Book" w:cs="Arial"/>
                <w:sz w:val="20"/>
              </w:rPr>
            </w:pPr>
            <w:r w:rsidRPr="00EF5D58">
              <w:rPr>
                <w:rFonts w:ascii="Franklin Gothic Book" w:hAnsi="Franklin Gothic Book" w:cs="Arial"/>
                <w:sz w:val="20"/>
              </w:rPr>
              <w:t xml:space="preserve">Flow Duration Curve for the Temescal Creek </w:t>
            </w:r>
            <w:r w:rsidR="00D16440" w:rsidRPr="00EF5D58">
              <w:rPr>
                <w:rFonts w:ascii="Franklin Gothic Book" w:hAnsi="Franklin Gothic Book" w:cs="Arial"/>
                <w:sz w:val="20"/>
              </w:rPr>
              <w:t>n</w:t>
            </w:r>
            <w:r w:rsidRPr="00EF5D58">
              <w:rPr>
                <w:rFonts w:ascii="Franklin Gothic Book" w:hAnsi="Franklin Gothic Book" w:cs="Arial"/>
                <w:sz w:val="20"/>
              </w:rPr>
              <w:t xml:space="preserve">ear Corona USGS Stream-Gage 11072000: Water Year 1929 </w:t>
            </w:r>
            <w:r w:rsidR="00D16440" w:rsidRPr="00EF5D58">
              <w:rPr>
                <w:rFonts w:ascii="Franklin Gothic Book" w:hAnsi="Franklin Gothic Book" w:cs="Arial"/>
                <w:sz w:val="20"/>
              </w:rPr>
              <w:t>to</w:t>
            </w:r>
            <w:r w:rsidRPr="00EF5D58">
              <w:rPr>
                <w:rFonts w:ascii="Franklin Gothic Book" w:hAnsi="Franklin Gothic Book" w:cs="Arial"/>
                <w:sz w:val="20"/>
              </w:rPr>
              <w:t xml:space="preserve"> 1979</w:t>
            </w:r>
          </w:p>
        </w:tc>
      </w:tr>
      <w:tr w:rsidR="00B74DDF" w:rsidRPr="00820A9B" w14:paraId="04B82480" w14:textId="77777777" w:rsidTr="0023243C">
        <w:trPr>
          <w:trHeight w:val="333"/>
          <w:tblHeader/>
          <w:jc w:val="center"/>
        </w:trPr>
        <w:tc>
          <w:tcPr>
            <w:tcW w:w="1093" w:type="dxa"/>
            <w:gridSpan w:val="2"/>
            <w:shd w:val="clear" w:color="auto" w:fill="auto"/>
            <w:noWrap/>
          </w:tcPr>
          <w:p w14:paraId="55A9424C" w14:textId="13851FF0" w:rsidR="00B74DDF" w:rsidRPr="00EF5D58" w:rsidRDefault="00B74DDF" w:rsidP="00A071BA">
            <w:pPr>
              <w:spacing w:before="120" w:line="240" w:lineRule="auto"/>
              <w:jc w:val="center"/>
              <w:rPr>
                <w:rFonts w:ascii="Franklin Gothic Book" w:hAnsi="Franklin Gothic Book" w:cs="Arial"/>
                <w:sz w:val="20"/>
              </w:rPr>
            </w:pPr>
            <w:r w:rsidRPr="00EF5D58">
              <w:rPr>
                <w:rFonts w:ascii="Franklin Gothic Book" w:hAnsi="Franklin Gothic Book" w:cs="Arial"/>
                <w:sz w:val="20"/>
              </w:rPr>
              <w:t>2-</w:t>
            </w:r>
            <w:r w:rsidR="00A071BA" w:rsidRPr="00EF5D58">
              <w:rPr>
                <w:rFonts w:ascii="Franklin Gothic Book" w:hAnsi="Franklin Gothic Book" w:cs="Arial"/>
                <w:sz w:val="20"/>
              </w:rPr>
              <w:t>4</w:t>
            </w:r>
          </w:p>
        </w:tc>
        <w:tc>
          <w:tcPr>
            <w:tcW w:w="7470" w:type="dxa"/>
            <w:shd w:val="clear" w:color="auto" w:fill="auto"/>
            <w:noWrap/>
          </w:tcPr>
          <w:p w14:paraId="59614C47" w14:textId="53326F41" w:rsidR="00B74DDF" w:rsidRPr="00EF5D58" w:rsidRDefault="00732BD9" w:rsidP="00D16440">
            <w:pPr>
              <w:spacing w:before="120" w:line="240" w:lineRule="auto"/>
              <w:jc w:val="left"/>
              <w:rPr>
                <w:rFonts w:ascii="Franklin Gothic Book" w:hAnsi="Franklin Gothic Book" w:cs="Arial"/>
                <w:sz w:val="20"/>
              </w:rPr>
            </w:pPr>
            <w:r w:rsidRPr="00EF5D58">
              <w:rPr>
                <w:rFonts w:ascii="Franklin Gothic Book" w:hAnsi="Franklin Gothic Book" w:cs="Arial"/>
                <w:sz w:val="20"/>
              </w:rPr>
              <w:t xml:space="preserve">Box Whisker Plot </w:t>
            </w:r>
            <w:r w:rsidR="00A071BA" w:rsidRPr="00EF5D58">
              <w:rPr>
                <w:rFonts w:ascii="Franklin Gothic Book" w:hAnsi="Franklin Gothic Book" w:cs="Arial"/>
                <w:sz w:val="20"/>
              </w:rPr>
              <w:t xml:space="preserve">for the Temescal Creek </w:t>
            </w:r>
            <w:r w:rsidR="00D16440" w:rsidRPr="00EF5D58">
              <w:rPr>
                <w:rFonts w:ascii="Franklin Gothic Book" w:hAnsi="Franklin Gothic Book" w:cs="Arial"/>
                <w:sz w:val="20"/>
              </w:rPr>
              <w:t>n</w:t>
            </w:r>
            <w:r w:rsidR="00A071BA" w:rsidRPr="00EF5D58">
              <w:rPr>
                <w:rFonts w:ascii="Franklin Gothic Book" w:hAnsi="Franklin Gothic Book" w:cs="Arial"/>
                <w:sz w:val="20"/>
              </w:rPr>
              <w:t>ear Corona</w:t>
            </w:r>
            <w:r w:rsidR="0035127C" w:rsidRPr="00EF5D58">
              <w:rPr>
                <w:rFonts w:ascii="Franklin Gothic Book" w:hAnsi="Franklin Gothic Book" w:cs="Arial"/>
                <w:sz w:val="20"/>
              </w:rPr>
              <w:t xml:space="preserve"> USGS Stream-Gage </w:t>
            </w:r>
            <w:r w:rsidRPr="00EF5D58">
              <w:rPr>
                <w:rFonts w:ascii="Franklin Gothic Book" w:hAnsi="Franklin Gothic Book" w:cs="Arial"/>
                <w:sz w:val="20"/>
              </w:rPr>
              <w:t>11072000: Water Year 1929</w:t>
            </w:r>
            <w:r w:rsidR="00A071BA" w:rsidRPr="00EF5D58">
              <w:rPr>
                <w:rFonts w:ascii="Franklin Gothic Book" w:hAnsi="Franklin Gothic Book" w:cs="Arial"/>
                <w:sz w:val="20"/>
              </w:rPr>
              <w:t xml:space="preserve"> </w:t>
            </w:r>
            <w:r w:rsidR="00D16440" w:rsidRPr="00EF5D58">
              <w:rPr>
                <w:rFonts w:ascii="Franklin Gothic Book" w:hAnsi="Franklin Gothic Book" w:cs="Arial"/>
                <w:sz w:val="20"/>
              </w:rPr>
              <w:t>to</w:t>
            </w:r>
            <w:r w:rsidR="00A071BA" w:rsidRPr="00EF5D58">
              <w:rPr>
                <w:rFonts w:ascii="Franklin Gothic Book" w:hAnsi="Franklin Gothic Book" w:cs="Arial"/>
                <w:sz w:val="20"/>
              </w:rPr>
              <w:t xml:space="preserve"> </w:t>
            </w:r>
            <w:r w:rsidRPr="00EF5D58">
              <w:rPr>
                <w:rFonts w:ascii="Franklin Gothic Book" w:hAnsi="Franklin Gothic Book" w:cs="Arial"/>
                <w:sz w:val="20"/>
              </w:rPr>
              <w:t>1979</w:t>
            </w:r>
          </w:p>
        </w:tc>
      </w:tr>
      <w:tr w:rsidR="00B74DDF" w:rsidRPr="00820A9B" w14:paraId="588BB92A" w14:textId="77777777" w:rsidTr="0023243C">
        <w:trPr>
          <w:trHeight w:val="333"/>
          <w:tblHeader/>
          <w:jc w:val="center"/>
        </w:trPr>
        <w:tc>
          <w:tcPr>
            <w:tcW w:w="1093" w:type="dxa"/>
            <w:gridSpan w:val="2"/>
            <w:shd w:val="clear" w:color="auto" w:fill="auto"/>
            <w:noWrap/>
          </w:tcPr>
          <w:p w14:paraId="275CFAC6" w14:textId="77777777" w:rsidR="00B74DDF" w:rsidRPr="00940E10" w:rsidRDefault="00B74DDF" w:rsidP="00D75382">
            <w:pPr>
              <w:spacing w:before="120" w:line="240" w:lineRule="auto"/>
              <w:jc w:val="center"/>
              <w:rPr>
                <w:rFonts w:ascii="Franklin Gothic Book" w:hAnsi="Franklin Gothic Book" w:cs="Arial"/>
                <w:sz w:val="20"/>
              </w:rPr>
            </w:pPr>
            <w:r>
              <w:rPr>
                <w:rFonts w:ascii="Franklin Gothic Book" w:hAnsi="Franklin Gothic Book" w:cs="Arial"/>
                <w:sz w:val="20"/>
              </w:rPr>
              <w:t>3-1</w:t>
            </w:r>
          </w:p>
        </w:tc>
        <w:tc>
          <w:tcPr>
            <w:tcW w:w="7470" w:type="dxa"/>
            <w:shd w:val="clear" w:color="auto" w:fill="auto"/>
            <w:noWrap/>
          </w:tcPr>
          <w:p w14:paraId="350D4137" w14:textId="77777777" w:rsidR="00B74DDF" w:rsidRPr="00940E10" w:rsidRDefault="00B74DDF" w:rsidP="00FE1D58">
            <w:pPr>
              <w:spacing w:before="120" w:line="240" w:lineRule="auto"/>
              <w:jc w:val="left"/>
              <w:rPr>
                <w:rFonts w:ascii="Franklin Gothic Book" w:hAnsi="Franklin Gothic Book" w:cs="Arial"/>
                <w:sz w:val="20"/>
              </w:rPr>
            </w:pPr>
            <w:r>
              <w:rPr>
                <w:rFonts w:ascii="Franklin Gothic Book" w:hAnsi="Franklin Gothic Book" w:cs="Arial"/>
                <w:sz w:val="20"/>
              </w:rPr>
              <w:t>Geologic Map of the Bedford Basin</w:t>
            </w:r>
          </w:p>
        </w:tc>
      </w:tr>
      <w:tr w:rsidR="00B74DDF" w:rsidRPr="00820A9B" w14:paraId="568BFF77" w14:textId="77777777" w:rsidTr="0023243C">
        <w:trPr>
          <w:trHeight w:val="333"/>
          <w:tblHeader/>
          <w:jc w:val="center"/>
        </w:trPr>
        <w:tc>
          <w:tcPr>
            <w:tcW w:w="1093" w:type="dxa"/>
            <w:gridSpan w:val="2"/>
            <w:shd w:val="clear" w:color="auto" w:fill="auto"/>
            <w:noWrap/>
          </w:tcPr>
          <w:p w14:paraId="034B6677" w14:textId="77777777" w:rsidR="00B74DDF" w:rsidRDefault="00B74DDF" w:rsidP="00D75382">
            <w:pPr>
              <w:spacing w:before="120" w:line="240" w:lineRule="auto"/>
              <w:jc w:val="center"/>
              <w:rPr>
                <w:rFonts w:ascii="Franklin Gothic Book" w:hAnsi="Franklin Gothic Book" w:cs="Arial"/>
                <w:sz w:val="20"/>
              </w:rPr>
            </w:pPr>
            <w:r>
              <w:rPr>
                <w:rFonts w:ascii="Franklin Gothic Book" w:hAnsi="Franklin Gothic Book" w:cs="Arial"/>
                <w:sz w:val="20"/>
              </w:rPr>
              <w:t>3-2</w:t>
            </w:r>
          </w:p>
        </w:tc>
        <w:tc>
          <w:tcPr>
            <w:tcW w:w="7470" w:type="dxa"/>
            <w:shd w:val="clear" w:color="auto" w:fill="auto"/>
            <w:noWrap/>
          </w:tcPr>
          <w:p w14:paraId="7EA68D69" w14:textId="77777777" w:rsidR="00B74DDF" w:rsidRDefault="00B74DDF" w:rsidP="00FE1D58">
            <w:pPr>
              <w:spacing w:before="120" w:line="240" w:lineRule="auto"/>
              <w:jc w:val="left"/>
              <w:rPr>
                <w:rFonts w:ascii="Franklin Gothic Book" w:hAnsi="Franklin Gothic Book" w:cs="Arial"/>
                <w:sz w:val="20"/>
              </w:rPr>
            </w:pPr>
            <w:r>
              <w:rPr>
                <w:rFonts w:ascii="Franklin Gothic Book" w:hAnsi="Franklin Gothic Book" w:cs="Arial"/>
                <w:sz w:val="20"/>
              </w:rPr>
              <w:t>Depth to Bottom of Aquifer</w:t>
            </w:r>
          </w:p>
        </w:tc>
      </w:tr>
      <w:tr w:rsidR="00B74DDF" w:rsidRPr="00820A9B" w14:paraId="2CE7400A" w14:textId="77777777" w:rsidTr="0023243C">
        <w:trPr>
          <w:trHeight w:val="333"/>
          <w:tblHeader/>
          <w:jc w:val="center"/>
        </w:trPr>
        <w:tc>
          <w:tcPr>
            <w:tcW w:w="1093" w:type="dxa"/>
            <w:gridSpan w:val="2"/>
            <w:shd w:val="clear" w:color="auto" w:fill="auto"/>
            <w:noWrap/>
          </w:tcPr>
          <w:p w14:paraId="53D44E9F" w14:textId="77777777" w:rsidR="00B74DDF" w:rsidRPr="00940E10" w:rsidRDefault="00B74DDF" w:rsidP="00D75382">
            <w:pPr>
              <w:spacing w:before="120" w:line="240" w:lineRule="auto"/>
              <w:jc w:val="center"/>
              <w:rPr>
                <w:rFonts w:ascii="Franklin Gothic Book" w:hAnsi="Franklin Gothic Book" w:cs="Arial"/>
                <w:sz w:val="20"/>
              </w:rPr>
            </w:pPr>
            <w:r>
              <w:rPr>
                <w:rFonts w:ascii="Franklin Gothic Book" w:hAnsi="Franklin Gothic Book" w:cs="Arial"/>
                <w:sz w:val="20"/>
              </w:rPr>
              <w:t>3-3a</w:t>
            </w:r>
          </w:p>
        </w:tc>
        <w:tc>
          <w:tcPr>
            <w:tcW w:w="7470" w:type="dxa"/>
            <w:shd w:val="clear" w:color="auto" w:fill="auto"/>
            <w:noWrap/>
          </w:tcPr>
          <w:p w14:paraId="12D9142A" w14:textId="77777777" w:rsidR="00B74DDF" w:rsidRPr="00940E10" w:rsidRDefault="00B74DDF" w:rsidP="00FE1D58">
            <w:pPr>
              <w:spacing w:before="120" w:line="240" w:lineRule="auto"/>
              <w:jc w:val="left"/>
              <w:rPr>
                <w:rFonts w:ascii="Franklin Gothic Book" w:hAnsi="Franklin Gothic Book" w:cs="Arial"/>
                <w:sz w:val="20"/>
              </w:rPr>
            </w:pPr>
            <w:r>
              <w:rPr>
                <w:rFonts w:ascii="Franklin Gothic Book" w:hAnsi="Franklin Gothic Book" w:cs="Arial"/>
                <w:sz w:val="20"/>
              </w:rPr>
              <w:t>Cross-section A-A’</w:t>
            </w:r>
          </w:p>
        </w:tc>
      </w:tr>
      <w:tr w:rsidR="00B74DDF" w:rsidRPr="00820A9B" w14:paraId="3D0D21F9" w14:textId="77777777" w:rsidTr="0023243C">
        <w:trPr>
          <w:trHeight w:val="333"/>
          <w:tblHeader/>
          <w:jc w:val="center"/>
        </w:trPr>
        <w:tc>
          <w:tcPr>
            <w:tcW w:w="1093" w:type="dxa"/>
            <w:gridSpan w:val="2"/>
            <w:shd w:val="clear" w:color="auto" w:fill="auto"/>
            <w:noWrap/>
          </w:tcPr>
          <w:p w14:paraId="3E907CA0" w14:textId="77777777" w:rsidR="00B74DDF" w:rsidRPr="00940E10" w:rsidRDefault="00B74DDF" w:rsidP="00D75382">
            <w:pPr>
              <w:spacing w:before="120" w:line="240" w:lineRule="auto"/>
              <w:jc w:val="center"/>
              <w:rPr>
                <w:rFonts w:ascii="Franklin Gothic Book" w:hAnsi="Franklin Gothic Book" w:cs="Arial"/>
                <w:sz w:val="20"/>
              </w:rPr>
            </w:pPr>
            <w:r>
              <w:rPr>
                <w:rFonts w:ascii="Franklin Gothic Book" w:hAnsi="Franklin Gothic Book" w:cs="Arial"/>
                <w:sz w:val="20"/>
              </w:rPr>
              <w:t>3-3b</w:t>
            </w:r>
          </w:p>
        </w:tc>
        <w:tc>
          <w:tcPr>
            <w:tcW w:w="7470" w:type="dxa"/>
            <w:shd w:val="clear" w:color="auto" w:fill="auto"/>
            <w:noWrap/>
          </w:tcPr>
          <w:p w14:paraId="4809DA6B" w14:textId="77777777" w:rsidR="00B74DDF" w:rsidRPr="00940E10" w:rsidRDefault="00B74DDF" w:rsidP="00D75382">
            <w:pPr>
              <w:spacing w:before="120" w:line="240" w:lineRule="auto"/>
              <w:jc w:val="left"/>
              <w:rPr>
                <w:rFonts w:ascii="Franklin Gothic Book" w:hAnsi="Franklin Gothic Book" w:cs="Arial"/>
                <w:sz w:val="20"/>
              </w:rPr>
            </w:pPr>
            <w:r>
              <w:rPr>
                <w:rFonts w:ascii="Franklin Gothic Book" w:hAnsi="Franklin Gothic Book" w:cs="Arial"/>
                <w:sz w:val="20"/>
              </w:rPr>
              <w:t>Cross-section B-B’</w:t>
            </w:r>
          </w:p>
        </w:tc>
      </w:tr>
      <w:tr w:rsidR="00B74DDF" w:rsidRPr="00820A9B" w14:paraId="2162470C" w14:textId="77777777" w:rsidTr="0023243C">
        <w:trPr>
          <w:trHeight w:val="333"/>
          <w:tblHeader/>
          <w:jc w:val="center"/>
        </w:trPr>
        <w:tc>
          <w:tcPr>
            <w:tcW w:w="1093" w:type="dxa"/>
            <w:gridSpan w:val="2"/>
            <w:shd w:val="clear" w:color="auto" w:fill="auto"/>
            <w:noWrap/>
          </w:tcPr>
          <w:p w14:paraId="3BDD24E6" w14:textId="77777777" w:rsidR="00B74DDF" w:rsidRPr="00940E10" w:rsidRDefault="00B74DDF" w:rsidP="00D75382">
            <w:pPr>
              <w:spacing w:before="120" w:line="240" w:lineRule="auto"/>
              <w:jc w:val="center"/>
              <w:rPr>
                <w:rFonts w:ascii="Franklin Gothic Book" w:hAnsi="Franklin Gothic Book" w:cs="Arial"/>
                <w:sz w:val="20"/>
              </w:rPr>
            </w:pPr>
            <w:r>
              <w:rPr>
                <w:rFonts w:ascii="Franklin Gothic Book" w:hAnsi="Franklin Gothic Book" w:cs="Arial"/>
                <w:sz w:val="20"/>
              </w:rPr>
              <w:t>3-3c</w:t>
            </w:r>
          </w:p>
        </w:tc>
        <w:tc>
          <w:tcPr>
            <w:tcW w:w="7470" w:type="dxa"/>
            <w:shd w:val="clear" w:color="auto" w:fill="auto"/>
            <w:noWrap/>
          </w:tcPr>
          <w:p w14:paraId="2DDD646C" w14:textId="77777777" w:rsidR="00B74DDF" w:rsidRPr="00940E10" w:rsidRDefault="00B74DDF" w:rsidP="00D75382">
            <w:pPr>
              <w:spacing w:before="120" w:line="240" w:lineRule="auto"/>
              <w:jc w:val="left"/>
              <w:rPr>
                <w:rFonts w:ascii="Franklin Gothic Book" w:hAnsi="Franklin Gothic Book" w:cs="Arial"/>
                <w:sz w:val="20"/>
              </w:rPr>
            </w:pPr>
            <w:r>
              <w:rPr>
                <w:rFonts w:ascii="Franklin Gothic Book" w:hAnsi="Franklin Gothic Book" w:cs="Arial"/>
                <w:sz w:val="20"/>
              </w:rPr>
              <w:t>Cross-section C-C’</w:t>
            </w:r>
          </w:p>
        </w:tc>
      </w:tr>
      <w:tr w:rsidR="00B74DDF" w:rsidRPr="00820A9B" w14:paraId="26D4C95C" w14:textId="77777777" w:rsidTr="0023243C">
        <w:trPr>
          <w:trHeight w:val="333"/>
          <w:tblHeader/>
          <w:jc w:val="center"/>
        </w:trPr>
        <w:tc>
          <w:tcPr>
            <w:tcW w:w="1093" w:type="dxa"/>
            <w:gridSpan w:val="2"/>
            <w:shd w:val="clear" w:color="auto" w:fill="auto"/>
            <w:noWrap/>
          </w:tcPr>
          <w:p w14:paraId="524C5998" w14:textId="77777777" w:rsidR="00B74DDF" w:rsidRPr="00940E10" w:rsidRDefault="00B74DDF" w:rsidP="00D75382">
            <w:pPr>
              <w:spacing w:before="120" w:line="240" w:lineRule="auto"/>
              <w:jc w:val="center"/>
              <w:rPr>
                <w:rFonts w:ascii="Franklin Gothic Book" w:hAnsi="Franklin Gothic Book" w:cs="Arial"/>
                <w:sz w:val="20"/>
              </w:rPr>
            </w:pPr>
            <w:r>
              <w:rPr>
                <w:rFonts w:ascii="Franklin Gothic Book" w:hAnsi="Franklin Gothic Book" w:cs="Arial"/>
                <w:sz w:val="20"/>
              </w:rPr>
              <w:t>3-3d</w:t>
            </w:r>
          </w:p>
        </w:tc>
        <w:tc>
          <w:tcPr>
            <w:tcW w:w="7470" w:type="dxa"/>
            <w:shd w:val="clear" w:color="auto" w:fill="auto"/>
            <w:noWrap/>
          </w:tcPr>
          <w:p w14:paraId="56160BF0" w14:textId="77777777" w:rsidR="00B74DDF" w:rsidRPr="00940E10" w:rsidRDefault="00B74DDF" w:rsidP="00F97B77">
            <w:pPr>
              <w:spacing w:before="120" w:line="240" w:lineRule="auto"/>
              <w:jc w:val="left"/>
              <w:rPr>
                <w:rFonts w:ascii="Franklin Gothic Book" w:hAnsi="Franklin Gothic Book" w:cs="Arial"/>
                <w:sz w:val="20"/>
              </w:rPr>
            </w:pPr>
            <w:r>
              <w:rPr>
                <w:rFonts w:ascii="Franklin Gothic Book" w:hAnsi="Franklin Gothic Book" w:cs="Arial"/>
                <w:sz w:val="20"/>
              </w:rPr>
              <w:t>Cross-section D-D’</w:t>
            </w:r>
          </w:p>
        </w:tc>
      </w:tr>
      <w:tr w:rsidR="002D7097" w:rsidRPr="00820A9B" w14:paraId="7F17E1B0" w14:textId="77777777" w:rsidTr="0023243C">
        <w:trPr>
          <w:trHeight w:val="333"/>
          <w:tblHeader/>
          <w:jc w:val="center"/>
        </w:trPr>
        <w:tc>
          <w:tcPr>
            <w:tcW w:w="1093" w:type="dxa"/>
            <w:gridSpan w:val="2"/>
            <w:shd w:val="clear" w:color="auto" w:fill="auto"/>
            <w:noWrap/>
          </w:tcPr>
          <w:p w14:paraId="4C3D99B9" w14:textId="64E29D83" w:rsidR="002D7097" w:rsidRDefault="002D7097" w:rsidP="002D7097">
            <w:pPr>
              <w:spacing w:before="120" w:line="240" w:lineRule="auto"/>
              <w:jc w:val="center"/>
              <w:rPr>
                <w:rFonts w:ascii="Franklin Gothic Book" w:hAnsi="Franklin Gothic Book" w:cs="Arial"/>
                <w:sz w:val="20"/>
              </w:rPr>
            </w:pPr>
            <w:r>
              <w:rPr>
                <w:rFonts w:ascii="Franklin Gothic Book" w:hAnsi="Franklin Gothic Book" w:cs="Arial"/>
                <w:sz w:val="20"/>
              </w:rPr>
              <w:t>3-4</w:t>
            </w:r>
          </w:p>
        </w:tc>
        <w:tc>
          <w:tcPr>
            <w:tcW w:w="7470" w:type="dxa"/>
            <w:shd w:val="clear" w:color="auto" w:fill="auto"/>
            <w:noWrap/>
          </w:tcPr>
          <w:p w14:paraId="723F3D19" w14:textId="7CFB70A0" w:rsidR="002D7097" w:rsidRDefault="002D7097" w:rsidP="00034A75">
            <w:pPr>
              <w:spacing w:before="120" w:line="240" w:lineRule="auto"/>
              <w:jc w:val="left"/>
              <w:rPr>
                <w:rFonts w:ascii="Franklin Gothic Book" w:hAnsi="Franklin Gothic Book" w:cs="Arial"/>
                <w:sz w:val="20"/>
              </w:rPr>
            </w:pPr>
            <w:r w:rsidRPr="00CD64F3">
              <w:rPr>
                <w:rFonts w:ascii="Franklin Gothic Book" w:hAnsi="Franklin Gothic Book" w:cs="Arial"/>
                <w:sz w:val="20"/>
              </w:rPr>
              <w:t>Trends in Precipitation, POTW Dis</w:t>
            </w:r>
            <w:r>
              <w:rPr>
                <w:rFonts w:ascii="Franklin Gothic Book" w:hAnsi="Franklin Gothic Book" w:cs="Arial"/>
                <w:sz w:val="20"/>
              </w:rPr>
              <w:t xml:space="preserve">charge, Groundwater Production, and Groundwater Levels </w:t>
            </w:r>
            <w:r w:rsidRPr="00CD64F3">
              <w:rPr>
                <w:rFonts w:ascii="Franklin Gothic Book" w:hAnsi="Franklin Gothic Book" w:cs="Arial"/>
                <w:sz w:val="20"/>
              </w:rPr>
              <w:t>in the Bedford Basin</w:t>
            </w:r>
          </w:p>
        </w:tc>
      </w:tr>
      <w:tr w:rsidR="002D7097" w:rsidRPr="00820A9B" w14:paraId="2B5684F2" w14:textId="77777777" w:rsidTr="0023243C">
        <w:trPr>
          <w:trHeight w:val="333"/>
          <w:tblHeader/>
          <w:jc w:val="center"/>
        </w:trPr>
        <w:tc>
          <w:tcPr>
            <w:tcW w:w="1093" w:type="dxa"/>
            <w:gridSpan w:val="2"/>
            <w:shd w:val="clear" w:color="auto" w:fill="auto"/>
            <w:noWrap/>
          </w:tcPr>
          <w:p w14:paraId="523A15A5" w14:textId="77777777" w:rsidR="002D7097" w:rsidRPr="00940E10" w:rsidRDefault="002D7097" w:rsidP="00367736">
            <w:pPr>
              <w:spacing w:before="120" w:line="240" w:lineRule="auto"/>
              <w:jc w:val="center"/>
              <w:rPr>
                <w:rFonts w:ascii="Franklin Gothic Book" w:hAnsi="Franklin Gothic Book" w:cs="Arial"/>
                <w:sz w:val="20"/>
              </w:rPr>
            </w:pPr>
            <w:r>
              <w:rPr>
                <w:rFonts w:ascii="Franklin Gothic Book" w:hAnsi="Franklin Gothic Book" w:cs="Arial"/>
                <w:sz w:val="20"/>
              </w:rPr>
              <w:t>3-5</w:t>
            </w:r>
          </w:p>
        </w:tc>
        <w:tc>
          <w:tcPr>
            <w:tcW w:w="7470" w:type="dxa"/>
            <w:shd w:val="clear" w:color="auto" w:fill="auto"/>
            <w:noWrap/>
          </w:tcPr>
          <w:p w14:paraId="195D4CC3" w14:textId="48C410D5" w:rsidR="002D7097" w:rsidRPr="00940E10" w:rsidRDefault="002D7097" w:rsidP="00D75382">
            <w:pPr>
              <w:spacing w:before="120" w:line="240" w:lineRule="auto"/>
              <w:jc w:val="left"/>
              <w:rPr>
                <w:rFonts w:ascii="Franklin Gothic Book" w:hAnsi="Franklin Gothic Book" w:cs="Arial"/>
                <w:sz w:val="20"/>
              </w:rPr>
            </w:pPr>
            <w:r>
              <w:rPr>
                <w:rFonts w:ascii="Franklin Gothic Book" w:hAnsi="Franklin Gothic Book" w:cs="Arial"/>
                <w:sz w:val="20"/>
              </w:rPr>
              <w:t xml:space="preserve">Groundwater Elevation and </w:t>
            </w:r>
            <w:r w:rsidR="00035926">
              <w:rPr>
                <w:rFonts w:ascii="Franklin Gothic Book" w:hAnsi="Franklin Gothic Book" w:cs="Arial"/>
                <w:sz w:val="20"/>
              </w:rPr>
              <w:t xml:space="preserve">Groundwater </w:t>
            </w:r>
            <w:r>
              <w:rPr>
                <w:rFonts w:ascii="Franklin Gothic Book" w:hAnsi="Franklin Gothic Book" w:cs="Arial"/>
                <w:sz w:val="20"/>
              </w:rPr>
              <w:t>Flow Direction: Fall 1949</w:t>
            </w:r>
          </w:p>
        </w:tc>
      </w:tr>
      <w:tr w:rsidR="002D7097" w:rsidRPr="00820A9B" w14:paraId="5BB6140E" w14:textId="77777777" w:rsidTr="0023243C">
        <w:trPr>
          <w:trHeight w:val="333"/>
          <w:tblHeader/>
          <w:jc w:val="center"/>
        </w:trPr>
        <w:tc>
          <w:tcPr>
            <w:tcW w:w="1093" w:type="dxa"/>
            <w:gridSpan w:val="2"/>
            <w:shd w:val="clear" w:color="auto" w:fill="auto"/>
            <w:noWrap/>
          </w:tcPr>
          <w:p w14:paraId="313702EB" w14:textId="77777777" w:rsidR="002D7097" w:rsidRPr="00940E10" w:rsidRDefault="002D7097" w:rsidP="00367736">
            <w:pPr>
              <w:spacing w:before="120" w:line="240" w:lineRule="auto"/>
              <w:jc w:val="center"/>
              <w:rPr>
                <w:rFonts w:ascii="Franklin Gothic Book" w:hAnsi="Franklin Gothic Book" w:cs="Arial"/>
                <w:sz w:val="20"/>
              </w:rPr>
            </w:pPr>
            <w:r>
              <w:rPr>
                <w:rFonts w:ascii="Franklin Gothic Book" w:hAnsi="Franklin Gothic Book" w:cs="Arial"/>
                <w:sz w:val="20"/>
              </w:rPr>
              <w:t>3-6</w:t>
            </w:r>
          </w:p>
        </w:tc>
        <w:tc>
          <w:tcPr>
            <w:tcW w:w="7470" w:type="dxa"/>
            <w:shd w:val="clear" w:color="auto" w:fill="auto"/>
            <w:noWrap/>
          </w:tcPr>
          <w:p w14:paraId="2677C465" w14:textId="24C69C30" w:rsidR="002D7097" w:rsidRPr="00940E10" w:rsidRDefault="002D7097" w:rsidP="00D75382">
            <w:pPr>
              <w:spacing w:before="120" w:line="240" w:lineRule="auto"/>
              <w:jc w:val="left"/>
              <w:rPr>
                <w:rFonts w:ascii="Franklin Gothic Book" w:hAnsi="Franklin Gothic Book" w:cs="Arial"/>
                <w:sz w:val="20"/>
              </w:rPr>
            </w:pPr>
            <w:r>
              <w:rPr>
                <w:rFonts w:ascii="Franklin Gothic Book" w:hAnsi="Franklin Gothic Book" w:cs="Arial"/>
                <w:sz w:val="20"/>
              </w:rPr>
              <w:t xml:space="preserve">Groundwater Elevation and </w:t>
            </w:r>
            <w:r w:rsidR="00035926">
              <w:rPr>
                <w:rFonts w:ascii="Franklin Gothic Book" w:hAnsi="Franklin Gothic Book" w:cs="Arial"/>
                <w:sz w:val="20"/>
              </w:rPr>
              <w:t xml:space="preserve">Groundwater </w:t>
            </w:r>
            <w:r>
              <w:rPr>
                <w:rFonts w:ascii="Franklin Gothic Book" w:hAnsi="Franklin Gothic Book" w:cs="Arial"/>
                <w:sz w:val="20"/>
              </w:rPr>
              <w:t>Flow Direction: Fall 2012</w:t>
            </w:r>
          </w:p>
        </w:tc>
      </w:tr>
      <w:tr w:rsidR="002D7097" w:rsidRPr="00820A9B" w14:paraId="71776147" w14:textId="77777777" w:rsidTr="0023243C">
        <w:trPr>
          <w:trHeight w:val="333"/>
          <w:tblHeader/>
          <w:jc w:val="center"/>
        </w:trPr>
        <w:tc>
          <w:tcPr>
            <w:tcW w:w="1093" w:type="dxa"/>
            <w:gridSpan w:val="2"/>
            <w:shd w:val="clear" w:color="auto" w:fill="auto"/>
            <w:noWrap/>
          </w:tcPr>
          <w:p w14:paraId="732C5438" w14:textId="747FE264" w:rsidR="002D7097" w:rsidRPr="00940E10" w:rsidRDefault="002D7097" w:rsidP="002D7097">
            <w:pPr>
              <w:spacing w:before="120" w:line="240" w:lineRule="auto"/>
              <w:jc w:val="center"/>
              <w:rPr>
                <w:rFonts w:ascii="Franklin Gothic Book" w:hAnsi="Franklin Gothic Book" w:cs="Arial"/>
                <w:sz w:val="20"/>
              </w:rPr>
            </w:pPr>
            <w:r>
              <w:rPr>
                <w:rFonts w:ascii="Franklin Gothic Book" w:hAnsi="Franklin Gothic Book" w:cs="Arial"/>
                <w:sz w:val="20"/>
              </w:rPr>
              <w:t>3-7</w:t>
            </w:r>
          </w:p>
        </w:tc>
        <w:tc>
          <w:tcPr>
            <w:tcW w:w="7470" w:type="dxa"/>
            <w:shd w:val="clear" w:color="auto" w:fill="auto"/>
            <w:noWrap/>
          </w:tcPr>
          <w:p w14:paraId="06A7E135" w14:textId="54F9FE7B" w:rsidR="002D7097" w:rsidRPr="00940E10" w:rsidRDefault="002D7097" w:rsidP="00F57C5A">
            <w:pPr>
              <w:spacing w:before="120" w:line="240" w:lineRule="auto"/>
              <w:jc w:val="left"/>
              <w:rPr>
                <w:rFonts w:ascii="Franklin Gothic Book" w:hAnsi="Franklin Gothic Book" w:cs="Arial"/>
                <w:sz w:val="20"/>
              </w:rPr>
            </w:pPr>
            <w:r>
              <w:rPr>
                <w:rFonts w:ascii="Franklin Gothic Book" w:hAnsi="Franklin Gothic Book" w:cs="Arial"/>
                <w:sz w:val="20"/>
              </w:rPr>
              <w:t>Land Use in the Bedford Basin: 1949, 1963, 1990, and 2014</w:t>
            </w:r>
          </w:p>
        </w:tc>
      </w:tr>
      <w:tr w:rsidR="002D7097" w:rsidRPr="00820A9B" w14:paraId="0F335B0A" w14:textId="77777777" w:rsidTr="0023243C">
        <w:trPr>
          <w:trHeight w:val="333"/>
          <w:tblHeader/>
          <w:jc w:val="center"/>
        </w:trPr>
        <w:tc>
          <w:tcPr>
            <w:tcW w:w="1093" w:type="dxa"/>
            <w:gridSpan w:val="2"/>
            <w:shd w:val="clear" w:color="auto" w:fill="auto"/>
            <w:noWrap/>
          </w:tcPr>
          <w:p w14:paraId="0BDBD563" w14:textId="77777777" w:rsidR="002D7097" w:rsidRPr="00940E10" w:rsidRDefault="002D7097" w:rsidP="00960593">
            <w:pPr>
              <w:spacing w:before="120" w:line="240" w:lineRule="auto"/>
              <w:jc w:val="center"/>
              <w:rPr>
                <w:rFonts w:ascii="Franklin Gothic Book" w:hAnsi="Franklin Gothic Book" w:cs="Arial"/>
                <w:sz w:val="20"/>
              </w:rPr>
            </w:pPr>
            <w:r>
              <w:rPr>
                <w:rFonts w:ascii="Franklin Gothic Book" w:hAnsi="Franklin Gothic Book" w:cs="Arial"/>
                <w:sz w:val="20"/>
              </w:rPr>
              <w:t>3-8</w:t>
            </w:r>
          </w:p>
        </w:tc>
        <w:tc>
          <w:tcPr>
            <w:tcW w:w="7470" w:type="dxa"/>
            <w:shd w:val="clear" w:color="auto" w:fill="auto"/>
            <w:noWrap/>
          </w:tcPr>
          <w:p w14:paraId="0B95DC5C" w14:textId="77777777" w:rsidR="002D7097" w:rsidRPr="00940E10" w:rsidRDefault="002D7097" w:rsidP="00E40BAA">
            <w:pPr>
              <w:spacing w:before="120" w:line="240" w:lineRule="auto"/>
              <w:jc w:val="left"/>
              <w:rPr>
                <w:rFonts w:ascii="Franklin Gothic Book" w:hAnsi="Franklin Gothic Book" w:cs="Arial"/>
                <w:sz w:val="20"/>
              </w:rPr>
            </w:pPr>
            <w:r>
              <w:rPr>
                <w:rFonts w:ascii="Franklin Gothic Book" w:hAnsi="Franklin Gothic Book" w:cs="Arial"/>
                <w:sz w:val="20"/>
              </w:rPr>
              <w:t>Total Dissolved Solids in Groundwater: Maximum Concentration (2009 to 2014)</w:t>
            </w:r>
          </w:p>
        </w:tc>
      </w:tr>
      <w:tr w:rsidR="002D7097" w:rsidRPr="00820A9B" w14:paraId="278E0295" w14:textId="77777777" w:rsidTr="0023243C">
        <w:trPr>
          <w:trHeight w:val="333"/>
          <w:tblHeader/>
          <w:jc w:val="center"/>
        </w:trPr>
        <w:tc>
          <w:tcPr>
            <w:tcW w:w="1093" w:type="dxa"/>
            <w:gridSpan w:val="2"/>
            <w:shd w:val="clear" w:color="auto" w:fill="auto"/>
            <w:noWrap/>
          </w:tcPr>
          <w:p w14:paraId="40384927" w14:textId="77777777" w:rsidR="002D7097" w:rsidRPr="00940E10" w:rsidRDefault="002D7097" w:rsidP="00960593">
            <w:pPr>
              <w:spacing w:before="120" w:line="240" w:lineRule="auto"/>
              <w:jc w:val="center"/>
              <w:rPr>
                <w:rFonts w:ascii="Franklin Gothic Book" w:hAnsi="Franklin Gothic Book" w:cs="Arial"/>
                <w:sz w:val="20"/>
              </w:rPr>
            </w:pPr>
            <w:r>
              <w:rPr>
                <w:rFonts w:ascii="Franklin Gothic Book" w:hAnsi="Franklin Gothic Book" w:cs="Arial"/>
                <w:sz w:val="20"/>
              </w:rPr>
              <w:t>3-9</w:t>
            </w:r>
          </w:p>
        </w:tc>
        <w:tc>
          <w:tcPr>
            <w:tcW w:w="7470" w:type="dxa"/>
            <w:shd w:val="clear" w:color="auto" w:fill="auto"/>
            <w:noWrap/>
          </w:tcPr>
          <w:p w14:paraId="4A5B31B0" w14:textId="77777777" w:rsidR="002D7097" w:rsidRPr="00940E10" w:rsidRDefault="002D7097" w:rsidP="0023243C">
            <w:pPr>
              <w:spacing w:before="120" w:line="240" w:lineRule="auto"/>
              <w:jc w:val="left"/>
              <w:rPr>
                <w:rFonts w:ascii="Franklin Gothic Book" w:hAnsi="Franklin Gothic Book" w:cs="Arial"/>
                <w:sz w:val="20"/>
              </w:rPr>
            </w:pPr>
            <w:r>
              <w:rPr>
                <w:rFonts w:ascii="Franklin Gothic Book" w:hAnsi="Franklin Gothic Book" w:cs="Arial"/>
                <w:sz w:val="20"/>
              </w:rPr>
              <w:t>Nitrate as Nitrogen in Groundwater: Maximum Concentration (2009 to 2014)</w:t>
            </w:r>
          </w:p>
        </w:tc>
      </w:tr>
      <w:tr w:rsidR="002D7097" w:rsidRPr="00820A9B" w14:paraId="42924A22" w14:textId="77777777" w:rsidTr="0023243C">
        <w:trPr>
          <w:trHeight w:val="333"/>
          <w:tblHeader/>
          <w:jc w:val="center"/>
        </w:trPr>
        <w:tc>
          <w:tcPr>
            <w:tcW w:w="1093" w:type="dxa"/>
            <w:gridSpan w:val="2"/>
            <w:shd w:val="clear" w:color="auto" w:fill="auto"/>
            <w:noWrap/>
          </w:tcPr>
          <w:p w14:paraId="0E05D936" w14:textId="31636C95" w:rsidR="002D7097" w:rsidRDefault="002D7097" w:rsidP="00D75382">
            <w:pPr>
              <w:spacing w:before="120" w:line="240" w:lineRule="auto"/>
              <w:jc w:val="center"/>
              <w:rPr>
                <w:rFonts w:ascii="Franklin Gothic Book" w:hAnsi="Franklin Gothic Book" w:cs="Arial"/>
                <w:sz w:val="20"/>
              </w:rPr>
            </w:pPr>
          </w:p>
        </w:tc>
        <w:tc>
          <w:tcPr>
            <w:tcW w:w="7470" w:type="dxa"/>
            <w:shd w:val="clear" w:color="auto" w:fill="auto"/>
            <w:noWrap/>
          </w:tcPr>
          <w:p w14:paraId="116AA03F" w14:textId="37938509" w:rsidR="002D7097" w:rsidRDefault="002D7097" w:rsidP="0023243C">
            <w:pPr>
              <w:spacing w:before="120" w:line="240" w:lineRule="auto"/>
              <w:jc w:val="left"/>
              <w:rPr>
                <w:rFonts w:ascii="Franklin Gothic Book" w:hAnsi="Franklin Gothic Book" w:cs="Arial"/>
                <w:sz w:val="20"/>
              </w:rPr>
            </w:pPr>
          </w:p>
        </w:tc>
      </w:tr>
      <w:tr w:rsidR="002D7097" w:rsidRPr="00820A9B" w14:paraId="1B0C5909" w14:textId="77777777" w:rsidTr="0023243C">
        <w:trPr>
          <w:trHeight w:val="333"/>
          <w:tblHeader/>
          <w:jc w:val="center"/>
        </w:trPr>
        <w:tc>
          <w:tcPr>
            <w:tcW w:w="1093" w:type="dxa"/>
            <w:gridSpan w:val="2"/>
            <w:shd w:val="clear" w:color="auto" w:fill="auto"/>
            <w:noWrap/>
            <w:vAlign w:val="bottom"/>
          </w:tcPr>
          <w:p w14:paraId="0132CB81" w14:textId="77777777" w:rsidR="002D7097" w:rsidRPr="00940E10" w:rsidRDefault="002D7097" w:rsidP="00D75382">
            <w:pPr>
              <w:spacing w:line="240" w:lineRule="auto"/>
              <w:jc w:val="center"/>
              <w:rPr>
                <w:rFonts w:ascii="Franklin Gothic Book" w:hAnsi="Franklin Gothic Book" w:cs="Arial"/>
                <w:sz w:val="20"/>
              </w:rPr>
            </w:pPr>
          </w:p>
        </w:tc>
        <w:tc>
          <w:tcPr>
            <w:tcW w:w="7470" w:type="dxa"/>
            <w:shd w:val="clear" w:color="auto" w:fill="auto"/>
            <w:noWrap/>
            <w:vAlign w:val="bottom"/>
          </w:tcPr>
          <w:p w14:paraId="14B5BC7A" w14:textId="77777777" w:rsidR="002D7097" w:rsidRPr="00940E10" w:rsidRDefault="002D7097" w:rsidP="00D75382">
            <w:pPr>
              <w:spacing w:line="240" w:lineRule="auto"/>
              <w:jc w:val="left"/>
              <w:rPr>
                <w:rFonts w:ascii="Franklin Gothic Book" w:hAnsi="Franklin Gothic Book" w:cs="Arial"/>
                <w:sz w:val="20"/>
              </w:rPr>
            </w:pPr>
          </w:p>
        </w:tc>
      </w:tr>
      <w:tr w:rsidR="002D7097" w:rsidRPr="00820A9B" w14:paraId="486E8F7A" w14:textId="77777777" w:rsidTr="004123FA">
        <w:trPr>
          <w:trHeight w:val="333"/>
          <w:tblHeader/>
          <w:jc w:val="center"/>
        </w:trPr>
        <w:tc>
          <w:tcPr>
            <w:tcW w:w="1093" w:type="dxa"/>
            <w:gridSpan w:val="2"/>
            <w:shd w:val="clear" w:color="auto" w:fill="auto"/>
            <w:noWrap/>
            <w:vAlign w:val="bottom"/>
          </w:tcPr>
          <w:p w14:paraId="43C05C8A" w14:textId="77777777" w:rsidR="002D7097" w:rsidRPr="00940E10" w:rsidRDefault="002D7097" w:rsidP="00D75382">
            <w:pPr>
              <w:spacing w:line="240" w:lineRule="auto"/>
              <w:jc w:val="center"/>
              <w:rPr>
                <w:rFonts w:ascii="Franklin Gothic Book" w:hAnsi="Franklin Gothic Book" w:cs="Arial"/>
                <w:sz w:val="20"/>
              </w:rPr>
            </w:pPr>
          </w:p>
        </w:tc>
        <w:tc>
          <w:tcPr>
            <w:tcW w:w="7470" w:type="dxa"/>
            <w:shd w:val="clear" w:color="auto" w:fill="auto"/>
            <w:noWrap/>
            <w:vAlign w:val="bottom"/>
          </w:tcPr>
          <w:p w14:paraId="45AAE70C" w14:textId="77777777" w:rsidR="002D7097" w:rsidRPr="00940E10" w:rsidRDefault="002D7097" w:rsidP="00D75382">
            <w:pPr>
              <w:spacing w:line="240" w:lineRule="auto"/>
              <w:jc w:val="left"/>
              <w:rPr>
                <w:rFonts w:ascii="Franklin Gothic Book" w:hAnsi="Franklin Gothic Book" w:cs="Arial"/>
                <w:sz w:val="20"/>
              </w:rPr>
            </w:pPr>
          </w:p>
        </w:tc>
      </w:tr>
      <w:tr w:rsidR="002D7097" w:rsidRPr="00820A9B" w14:paraId="66F3B4EE" w14:textId="77777777" w:rsidTr="004123FA">
        <w:trPr>
          <w:trHeight w:val="333"/>
          <w:tblHeader/>
          <w:jc w:val="center"/>
        </w:trPr>
        <w:tc>
          <w:tcPr>
            <w:tcW w:w="1093" w:type="dxa"/>
            <w:gridSpan w:val="2"/>
            <w:shd w:val="clear" w:color="auto" w:fill="auto"/>
            <w:noWrap/>
          </w:tcPr>
          <w:p w14:paraId="5483062C" w14:textId="77777777" w:rsidR="002D7097" w:rsidRPr="00940E10" w:rsidRDefault="002D7097" w:rsidP="00D75382">
            <w:pPr>
              <w:spacing w:before="120" w:line="240" w:lineRule="auto"/>
              <w:jc w:val="center"/>
              <w:rPr>
                <w:rFonts w:ascii="Franklin Gothic Book" w:hAnsi="Franklin Gothic Book" w:cs="Arial"/>
                <w:sz w:val="20"/>
              </w:rPr>
            </w:pPr>
          </w:p>
        </w:tc>
        <w:tc>
          <w:tcPr>
            <w:tcW w:w="7470" w:type="dxa"/>
            <w:shd w:val="clear" w:color="auto" w:fill="auto"/>
            <w:noWrap/>
          </w:tcPr>
          <w:p w14:paraId="4190B16F" w14:textId="77777777" w:rsidR="002D7097" w:rsidRPr="00940E10" w:rsidRDefault="002D7097" w:rsidP="00D75382">
            <w:pPr>
              <w:spacing w:before="120" w:line="240" w:lineRule="auto"/>
              <w:jc w:val="left"/>
              <w:rPr>
                <w:rFonts w:ascii="Franklin Gothic Book" w:hAnsi="Franklin Gothic Book" w:cs="Arial"/>
                <w:sz w:val="20"/>
              </w:rPr>
            </w:pPr>
          </w:p>
        </w:tc>
      </w:tr>
      <w:tr w:rsidR="002D7097" w:rsidRPr="00820A9B" w14:paraId="193A62AD" w14:textId="77777777" w:rsidTr="004123FA">
        <w:trPr>
          <w:trHeight w:val="333"/>
          <w:tblHeader/>
          <w:jc w:val="center"/>
        </w:trPr>
        <w:tc>
          <w:tcPr>
            <w:tcW w:w="1093" w:type="dxa"/>
            <w:gridSpan w:val="2"/>
            <w:shd w:val="clear" w:color="auto" w:fill="auto"/>
            <w:noWrap/>
          </w:tcPr>
          <w:p w14:paraId="2E7104D9" w14:textId="77777777" w:rsidR="002D7097" w:rsidRPr="00940E10" w:rsidRDefault="002D7097" w:rsidP="00D75382">
            <w:pPr>
              <w:spacing w:before="120" w:line="240" w:lineRule="auto"/>
              <w:jc w:val="center"/>
              <w:rPr>
                <w:rFonts w:ascii="Franklin Gothic Book" w:hAnsi="Franklin Gothic Book" w:cs="Arial"/>
                <w:sz w:val="20"/>
              </w:rPr>
            </w:pPr>
          </w:p>
        </w:tc>
        <w:tc>
          <w:tcPr>
            <w:tcW w:w="7470" w:type="dxa"/>
            <w:shd w:val="clear" w:color="auto" w:fill="auto"/>
            <w:noWrap/>
          </w:tcPr>
          <w:p w14:paraId="40D3D25F" w14:textId="77777777" w:rsidR="002D7097" w:rsidRPr="00940E10" w:rsidRDefault="002D7097" w:rsidP="00D75382">
            <w:pPr>
              <w:spacing w:before="120" w:line="240" w:lineRule="auto"/>
              <w:jc w:val="left"/>
              <w:rPr>
                <w:rFonts w:ascii="Franklin Gothic Book" w:hAnsi="Franklin Gothic Book" w:cs="Arial"/>
                <w:sz w:val="20"/>
              </w:rPr>
            </w:pPr>
          </w:p>
        </w:tc>
      </w:tr>
      <w:tr w:rsidR="002D7097" w:rsidRPr="00820A9B" w14:paraId="780323A4" w14:textId="77777777" w:rsidTr="004123FA">
        <w:trPr>
          <w:trHeight w:val="333"/>
          <w:tblHeader/>
          <w:jc w:val="center"/>
        </w:trPr>
        <w:tc>
          <w:tcPr>
            <w:tcW w:w="1093" w:type="dxa"/>
            <w:gridSpan w:val="2"/>
            <w:shd w:val="clear" w:color="auto" w:fill="auto"/>
            <w:noWrap/>
          </w:tcPr>
          <w:p w14:paraId="6FE84A5B" w14:textId="77777777" w:rsidR="002D7097" w:rsidRPr="00940E10" w:rsidRDefault="002D7097" w:rsidP="00D75382">
            <w:pPr>
              <w:spacing w:before="120" w:line="240" w:lineRule="auto"/>
              <w:jc w:val="center"/>
              <w:rPr>
                <w:rFonts w:ascii="Franklin Gothic Book" w:hAnsi="Franklin Gothic Book" w:cs="Arial"/>
                <w:sz w:val="20"/>
              </w:rPr>
            </w:pPr>
          </w:p>
        </w:tc>
        <w:tc>
          <w:tcPr>
            <w:tcW w:w="7470" w:type="dxa"/>
            <w:shd w:val="clear" w:color="auto" w:fill="auto"/>
            <w:noWrap/>
          </w:tcPr>
          <w:p w14:paraId="3D797826" w14:textId="77777777" w:rsidR="002D7097" w:rsidRPr="00940E10" w:rsidRDefault="002D7097" w:rsidP="00D75382">
            <w:pPr>
              <w:spacing w:before="120" w:line="240" w:lineRule="auto"/>
              <w:jc w:val="left"/>
              <w:rPr>
                <w:rFonts w:ascii="Franklin Gothic Book" w:hAnsi="Franklin Gothic Book" w:cs="Arial"/>
                <w:sz w:val="20"/>
              </w:rPr>
            </w:pPr>
          </w:p>
        </w:tc>
      </w:tr>
      <w:tr w:rsidR="002D7097" w:rsidRPr="00820A9B" w14:paraId="3F1A9591" w14:textId="77777777" w:rsidTr="004123FA">
        <w:trPr>
          <w:trHeight w:val="333"/>
          <w:tblHeader/>
          <w:jc w:val="center"/>
        </w:trPr>
        <w:tc>
          <w:tcPr>
            <w:tcW w:w="1093" w:type="dxa"/>
            <w:gridSpan w:val="2"/>
            <w:shd w:val="clear" w:color="auto" w:fill="auto"/>
            <w:noWrap/>
          </w:tcPr>
          <w:p w14:paraId="2B7B429D" w14:textId="77777777" w:rsidR="002D7097" w:rsidRPr="00940E10" w:rsidRDefault="002D7097" w:rsidP="00D75382">
            <w:pPr>
              <w:spacing w:before="120" w:line="240" w:lineRule="auto"/>
              <w:jc w:val="center"/>
              <w:rPr>
                <w:rFonts w:ascii="Franklin Gothic Book" w:hAnsi="Franklin Gothic Book" w:cs="Arial"/>
                <w:sz w:val="20"/>
              </w:rPr>
            </w:pPr>
          </w:p>
        </w:tc>
        <w:tc>
          <w:tcPr>
            <w:tcW w:w="7470" w:type="dxa"/>
            <w:shd w:val="clear" w:color="auto" w:fill="auto"/>
            <w:noWrap/>
          </w:tcPr>
          <w:p w14:paraId="32B75A93" w14:textId="77777777" w:rsidR="002D7097" w:rsidRPr="00940E10" w:rsidRDefault="002D7097" w:rsidP="00D75382">
            <w:pPr>
              <w:spacing w:before="120" w:line="240" w:lineRule="auto"/>
              <w:jc w:val="left"/>
              <w:rPr>
                <w:rFonts w:ascii="Franklin Gothic Book" w:hAnsi="Franklin Gothic Book" w:cs="Arial"/>
                <w:sz w:val="20"/>
              </w:rPr>
            </w:pPr>
          </w:p>
        </w:tc>
      </w:tr>
      <w:tr w:rsidR="002D7097" w:rsidRPr="00820A9B" w14:paraId="7F124218" w14:textId="77777777" w:rsidTr="004123FA">
        <w:trPr>
          <w:trHeight w:val="333"/>
          <w:tblHeader/>
          <w:jc w:val="center"/>
        </w:trPr>
        <w:tc>
          <w:tcPr>
            <w:tcW w:w="1093" w:type="dxa"/>
            <w:gridSpan w:val="2"/>
            <w:shd w:val="clear" w:color="auto" w:fill="auto"/>
            <w:noWrap/>
          </w:tcPr>
          <w:p w14:paraId="79E89F2F" w14:textId="77777777" w:rsidR="002D7097" w:rsidRPr="00940E10" w:rsidRDefault="002D7097" w:rsidP="00D75382">
            <w:pPr>
              <w:spacing w:before="120" w:line="240" w:lineRule="auto"/>
              <w:jc w:val="center"/>
              <w:rPr>
                <w:rFonts w:ascii="Franklin Gothic Book" w:hAnsi="Franklin Gothic Book" w:cs="Arial"/>
                <w:sz w:val="20"/>
              </w:rPr>
            </w:pPr>
          </w:p>
        </w:tc>
        <w:tc>
          <w:tcPr>
            <w:tcW w:w="7470" w:type="dxa"/>
            <w:shd w:val="clear" w:color="auto" w:fill="auto"/>
            <w:noWrap/>
          </w:tcPr>
          <w:p w14:paraId="6C2FC129" w14:textId="77777777" w:rsidR="002D7097" w:rsidRPr="00940E10" w:rsidRDefault="002D7097" w:rsidP="00D75382">
            <w:pPr>
              <w:spacing w:before="120" w:line="240" w:lineRule="auto"/>
              <w:jc w:val="left"/>
              <w:rPr>
                <w:rFonts w:ascii="Franklin Gothic Book" w:hAnsi="Franklin Gothic Book" w:cs="Arial"/>
                <w:sz w:val="20"/>
              </w:rPr>
            </w:pPr>
          </w:p>
        </w:tc>
      </w:tr>
      <w:tr w:rsidR="002D7097" w:rsidRPr="00820A9B" w14:paraId="2A1057ED" w14:textId="77777777" w:rsidTr="004123FA">
        <w:trPr>
          <w:gridBefore w:val="1"/>
          <w:wBefore w:w="12" w:type="dxa"/>
          <w:trHeight w:val="333"/>
          <w:tblHeader/>
          <w:jc w:val="center"/>
        </w:trPr>
        <w:tc>
          <w:tcPr>
            <w:tcW w:w="1081" w:type="dxa"/>
            <w:shd w:val="clear" w:color="auto" w:fill="auto"/>
            <w:noWrap/>
          </w:tcPr>
          <w:p w14:paraId="7A7E8AD3" w14:textId="77777777" w:rsidR="002D7097" w:rsidRPr="00940E10" w:rsidRDefault="002D7097" w:rsidP="00D75382">
            <w:pPr>
              <w:spacing w:before="120" w:line="240" w:lineRule="auto"/>
              <w:jc w:val="center"/>
              <w:rPr>
                <w:rFonts w:ascii="Franklin Gothic Book" w:hAnsi="Franklin Gothic Book" w:cs="Arial"/>
                <w:sz w:val="20"/>
              </w:rPr>
            </w:pPr>
          </w:p>
        </w:tc>
        <w:tc>
          <w:tcPr>
            <w:tcW w:w="7470" w:type="dxa"/>
            <w:shd w:val="clear" w:color="auto" w:fill="auto"/>
            <w:noWrap/>
          </w:tcPr>
          <w:p w14:paraId="63A0C772" w14:textId="77777777" w:rsidR="002D7097" w:rsidRPr="00940E10" w:rsidRDefault="002D7097" w:rsidP="00D75382">
            <w:pPr>
              <w:spacing w:before="120" w:line="240" w:lineRule="auto"/>
              <w:jc w:val="left"/>
              <w:rPr>
                <w:rFonts w:ascii="Franklin Gothic Book" w:hAnsi="Franklin Gothic Book" w:cs="Arial"/>
                <w:sz w:val="20"/>
              </w:rPr>
            </w:pPr>
          </w:p>
        </w:tc>
      </w:tr>
      <w:tr w:rsidR="002D7097" w:rsidRPr="00820A9B" w14:paraId="7FA03729" w14:textId="77777777" w:rsidTr="004123FA">
        <w:trPr>
          <w:gridBefore w:val="1"/>
          <w:wBefore w:w="12" w:type="dxa"/>
          <w:trHeight w:val="333"/>
          <w:tblHeader/>
          <w:jc w:val="center"/>
        </w:trPr>
        <w:tc>
          <w:tcPr>
            <w:tcW w:w="1081" w:type="dxa"/>
            <w:shd w:val="clear" w:color="auto" w:fill="auto"/>
            <w:noWrap/>
          </w:tcPr>
          <w:p w14:paraId="5009EE12" w14:textId="77777777" w:rsidR="002D7097" w:rsidRPr="00940E10" w:rsidRDefault="002D7097" w:rsidP="00D75382">
            <w:pPr>
              <w:spacing w:before="120" w:line="240" w:lineRule="auto"/>
              <w:jc w:val="center"/>
              <w:rPr>
                <w:rFonts w:ascii="Franklin Gothic Book" w:hAnsi="Franklin Gothic Book" w:cs="Arial"/>
                <w:sz w:val="20"/>
              </w:rPr>
            </w:pPr>
          </w:p>
        </w:tc>
        <w:tc>
          <w:tcPr>
            <w:tcW w:w="7470" w:type="dxa"/>
            <w:shd w:val="clear" w:color="auto" w:fill="auto"/>
            <w:noWrap/>
          </w:tcPr>
          <w:p w14:paraId="27FF139D" w14:textId="77777777" w:rsidR="002D7097" w:rsidRPr="00940E10" w:rsidRDefault="002D7097" w:rsidP="00D75382">
            <w:pPr>
              <w:spacing w:before="120" w:line="240" w:lineRule="auto"/>
              <w:jc w:val="left"/>
              <w:rPr>
                <w:rFonts w:ascii="Franklin Gothic Book" w:hAnsi="Franklin Gothic Book" w:cs="Arial"/>
                <w:sz w:val="20"/>
              </w:rPr>
            </w:pPr>
          </w:p>
        </w:tc>
      </w:tr>
      <w:tr w:rsidR="002D7097" w:rsidRPr="00820A9B" w14:paraId="1746FC09" w14:textId="77777777" w:rsidTr="004123FA">
        <w:trPr>
          <w:gridBefore w:val="1"/>
          <w:wBefore w:w="12" w:type="dxa"/>
          <w:trHeight w:val="333"/>
          <w:tblHeader/>
          <w:jc w:val="center"/>
        </w:trPr>
        <w:tc>
          <w:tcPr>
            <w:tcW w:w="1081" w:type="dxa"/>
            <w:shd w:val="clear" w:color="auto" w:fill="auto"/>
            <w:noWrap/>
          </w:tcPr>
          <w:p w14:paraId="7E02D3D5" w14:textId="77777777" w:rsidR="002D7097" w:rsidRPr="00940E10" w:rsidRDefault="002D7097" w:rsidP="00D75382">
            <w:pPr>
              <w:spacing w:before="120" w:line="240" w:lineRule="auto"/>
              <w:jc w:val="center"/>
              <w:rPr>
                <w:rFonts w:ascii="Franklin Gothic Book" w:hAnsi="Franklin Gothic Book" w:cs="Arial"/>
                <w:sz w:val="20"/>
              </w:rPr>
            </w:pPr>
          </w:p>
        </w:tc>
        <w:tc>
          <w:tcPr>
            <w:tcW w:w="7470" w:type="dxa"/>
            <w:shd w:val="clear" w:color="auto" w:fill="auto"/>
            <w:noWrap/>
          </w:tcPr>
          <w:p w14:paraId="4D858B8A" w14:textId="77777777" w:rsidR="002D7097" w:rsidRPr="00940E10" w:rsidRDefault="002D7097" w:rsidP="00D75382">
            <w:pPr>
              <w:spacing w:before="120" w:line="240" w:lineRule="auto"/>
              <w:jc w:val="left"/>
              <w:rPr>
                <w:rFonts w:ascii="Franklin Gothic Book" w:hAnsi="Franklin Gothic Book" w:cs="Arial"/>
                <w:sz w:val="20"/>
              </w:rPr>
            </w:pPr>
          </w:p>
        </w:tc>
      </w:tr>
    </w:tbl>
    <w:p w14:paraId="2E2E308B" w14:textId="2EA0652B" w:rsidR="004123FA" w:rsidRDefault="004123FA" w:rsidP="00D75382">
      <w:pPr>
        <w:spacing w:line="240" w:lineRule="auto"/>
      </w:pPr>
      <w:r>
        <w:br w:type="page"/>
      </w:r>
    </w:p>
    <w:tbl>
      <w:tblPr>
        <w:tblW w:w="8563" w:type="dxa"/>
        <w:jc w:val="center"/>
        <w:tblLook w:val="04A0" w:firstRow="1" w:lastRow="0" w:firstColumn="1" w:lastColumn="0" w:noHBand="0" w:noVBand="1"/>
      </w:tblPr>
      <w:tblGrid>
        <w:gridCol w:w="1690"/>
        <w:gridCol w:w="6873"/>
      </w:tblGrid>
      <w:tr w:rsidR="00C4246E" w:rsidRPr="00820A9B" w14:paraId="32AE294A" w14:textId="77777777" w:rsidTr="0035127C">
        <w:trPr>
          <w:trHeight w:val="290"/>
          <w:jc w:val="center"/>
        </w:trPr>
        <w:tc>
          <w:tcPr>
            <w:tcW w:w="8563" w:type="dxa"/>
            <w:gridSpan w:val="2"/>
            <w:vMerge w:val="restart"/>
            <w:shd w:val="clear" w:color="auto" w:fill="000080"/>
            <w:noWrap/>
            <w:vAlign w:val="center"/>
          </w:tcPr>
          <w:p w14:paraId="1DAA8B49" w14:textId="77777777" w:rsidR="00C4246E" w:rsidRPr="00940E10" w:rsidRDefault="00C4246E" w:rsidP="00D75382">
            <w:pPr>
              <w:spacing w:line="240" w:lineRule="auto"/>
              <w:jc w:val="center"/>
              <w:rPr>
                <w:rFonts w:ascii="Franklin Gothic Heavy" w:hAnsi="Franklin Gothic Heavy" w:cs="Arial"/>
                <w:bCs/>
                <w:color w:val="FFFFFF"/>
                <w:sz w:val="24"/>
                <w:szCs w:val="24"/>
              </w:rPr>
            </w:pPr>
            <w:r>
              <w:rPr>
                <w:noProof/>
              </w:rPr>
              <w:br w:type="page"/>
            </w:r>
            <w:r>
              <w:br w:type="page"/>
            </w:r>
            <w:r>
              <w:rPr>
                <w:rFonts w:ascii="Franklin Gothic Heavy" w:hAnsi="Franklin Gothic Heavy" w:cs="Arial"/>
                <w:bCs/>
                <w:color w:val="FFFFFF"/>
                <w:sz w:val="24"/>
                <w:szCs w:val="24"/>
              </w:rPr>
              <w:t>Acronyms, Abbreviations, and Initialisms</w:t>
            </w:r>
          </w:p>
        </w:tc>
      </w:tr>
      <w:tr w:rsidR="00C4246E" w:rsidRPr="00820A9B" w14:paraId="76C008E7" w14:textId="77777777" w:rsidTr="00F143A3">
        <w:trPr>
          <w:trHeight w:val="230"/>
          <w:jc w:val="center"/>
        </w:trPr>
        <w:tc>
          <w:tcPr>
            <w:tcW w:w="8563" w:type="dxa"/>
            <w:gridSpan w:val="2"/>
            <w:vMerge/>
            <w:shd w:val="clear" w:color="auto" w:fill="000080"/>
            <w:vAlign w:val="center"/>
          </w:tcPr>
          <w:p w14:paraId="5E72D772" w14:textId="77777777" w:rsidR="00C4246E" w:rsidRPr="00820A9B" w:rsidRDefault="00C4246E" w:rsidP="00D75382">
            <w:pPr>
              <w:spacing w:line="240" w:lineRule="auto"/>
              <w:jc w:val="left"/>
              <w:rPr>
                <w:rFonts w:ascii="Arial" w:hAnsi="Arial" w:cs="Arial"/>
                <w:b/>
                <w:bCs/>
                <w:color w:val="FFFFFF"/>
                <w:sz w:val="20"/>
              </w:rPr>
            </w:pPr>
          </w:p>
        </w:tc>
      </w:tr>
      <w:tr w:rsidR="00C4246E" w:rsidRPr="00820A9B" w14:paraId="04BA24E2" w14:textId="77777777" w:rsidTr="00F143A3">
        <w:trPr>
          <w:trHeight w:val="230"/>
          <w:jc w:val="center"/>
        </w:trPr>
        <w:tc>
          <w:tcPr>
            <w:tcW w:w="8563" w:type="dxa"/>
            <w:gridSpan w:val="2"/>
            <w:vMerge/>
            <w:shd w:val="clear" w:color="auto" w:fill="000080"/>
            <w:vAlign w:val="center"/>
          </w:tcPr>
          <w:p w14:paraId="4022739D" w14:textId="77777777" w:rsidR="00C4246E" w:rsidRPr="00820A9B" w:rsidRDefault="00C4246E" w:rsidP="00D75382">
            <w:pPr>
              <w:spacing w:line="240" w:lineRule="auto"/>
              <w:jc w:val="left"/>
              <w:rPr>
                <w:rFonts w:ascii="Arial" w:hAnsi="Arial" w:cs="Arial"/>
                <w:b/>
                <w:bCs/>
                <w:color w:val="FFFFFF"/>
                <w:sz w:val="20"/>
              </w:rPr>
            </w:pPr>
          </w:p>
        </w:tc>
      </w:tr>
      <w:tr w:rsidR="00C4246E" w:rsidRPr="00820A9B" w14:paraId="36AA7AF1" w14:textId="77777777" w:rsidTr="00C4246E">
        <w:trPr>
          <w:trHeight w:val="333"/>
          <w:jc w:val="center"/>
        </w:trPr>
        <w:tc>
          <w:tcPr>
            <w:tcW w:w="1690" w:type="dxa"/>
            <w:shd w:val="clear" w:color="auto" w:fill="auto"/>
            <w:noWrap/>
          </w:tcPr>
          <w:p w14:paraId="74259338"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608DB01F" w14:textId="3E4D823C" w:rsidR="00C4246E" w:rsidRPr="00B6183A" w:rsidRDefault="00C5431D" w:rsidP="00D75382">
            <w:pPr>
              <w:spacing w:before="120" w:line="240" w:lineRule="auto"/>
              <w:jc w:val="left"/>
              <w:rPr>
                <w:rFonts w:ascii="Franklin Gothic Book" w:hAnsi="Franklin Gothic Book" w:cs="Arial"/>
                <w:sz w:val="20"/>
                <w:highlight w:val="yellow"/>
              </w:rPr>
            </w:pPr>
            <w:r>
              <w:rPr>
                <w:rFonts w:ascii="Franklin Gothic Book" w:hAnsi="Franklin Gothic Book" w:cs="Arial"/>
                <w:sz w:val="20"/>
                <w:highlight w:val="yellow"/>
              </w:rPr>
              <w:t>To be completed in final report</w:t>
            </w:r>
          </w:p>
        </w:tc>
      </w:tr>
      <w:tr w:rsidR="00C4246E" w:rsidRPr="00820A9B" w14:paraId="61D53725" w14:textId="77777777" w:rsidTr="00C4246E">
        <w:trPr>
          <w:trHeight w:val="333"/>
          <w:jc w:val="center"/>
        </w:trPr>
        <w:tc>
          <w:tcPr>
            <w:tcW w:w="1690" w:type="dxa"/>
            <w:shd w:val="clear" w:color="auto" w:fill="auto"/>
            <w:noWrap/>
          </w:tcPr>
          <w:p w14:paraId="453B35AF"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0B875504"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640D9A30" w14:textId="77777777" w:rsidTr="00C4246E">
        <w:trPr>
          <w:trHeight w:val="333"/>
          <w:jc w:val="center"/>
        </w:trPr>
        <w:tc>
          <w:tcPr>
            <w:tcW w:w="1690" w:type="dxa"/>
            <w:shd w:val="clear" w:color="auto" w:fill="auto"/>
            <w:noWrap/>
          </w:tcPr>
          <w:p w14:paraId="4BB1653A"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6F85334A"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04DAA188" w14:textId="77777777" w:rsidTr="00C4246E">
        <w:trPr>
          <w:trHeight w:val="333"/>
          <w:jc w:val="center"/>
        </w:trPr>
        <w:tc>
          <w:tcPr>
            <w:tcW w:w="1690" w:type="dxa"/>
            <w:shd w:val="clear" w:color="auto" w:fill="auto"/>
            <w:noWrap/>
          </w:tcPr>
          <w:p w14:paraId="78E10A76"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6C5B47B3"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68159D90" w14:textId="77777777" w:rsidTr="00C4246E">
        <w:trPr>
          <w:trHeight w:val="333"/>
          <w:jc w:val="center"/>
        </w:trPr>
        <w:tc>
          <w:tcPr>
            <w:tcW w:w="1690" w:type="dxa"/>
            <w:shd w:val="clear" w:color="auto" w:fill="auto"/>
            <w:noWrap/>
          </w:tcPr>
          <w:p w14:paraId="5273897D"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356E6B42"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6E5AB5B5" w14:textId="77777777" w:rsidTr="00C4246E">
        <w:trPr>
          <w:trHeight w:val="333"/>
          <w:jc w:val="center"/>
        </w:trPr>
        <w:tc>
          <w:tcPr>
            <w:tcW w:w="1690" w:type="dxa"/>
            <w:shd w:val="clear" w:color="auto" w:fill="auto"/>
            <w:noWrap/>
          </w:tcPr>
          <w:p w14:paraId="204A8E4E"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67421CE0"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38C08A12" w14:textId="77777777" w:rsidTr="00C4246E">
        <w:trPr>
          <w:trHeight w:val="333"/>
          <w:jc w:val="center"/>
        </w:trPr>
        <w:tc>
          <w:tcPr>
            <w:tcW w:w="1690" w:type="dxa"/>
            <w:shd w:val="clear" w:color="auto" w:fill="auto"/>
            <w:noWrap/>
          </w:tcPr>
          <w:p w14:paraId="28F9D605"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13943BA3"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25B9D2DA" w14:textId="77777777" w:rsidTr="00C4246E">
        <w:trPr>
          <w:trHeight w:val="333"/>
          <w:jc w:val="center"/>
        </w:trPr>
        <w:tc>
          <w:tcPr>
            <w:tcW w:w="1690" w:type="dxa"/>
            <w:shd w:val="clear" w:color="auto" w:fill="auto"/>
            <w:noWrap/>
          </w:tcPr>
          <w:p w14:paraId="4D7DB4AC"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6A89060B"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4F4194F2" w14:textId="77777777" w:rsidTr="00C4246E">
        <w:trPr>
          <w:trHeight w:val="333"/>
          <w:jc w:val="center"/>
        </w:trPr>
        <w:tc>
          <w:tcPr>
            <w:tcW w:w="1690" w:type="dxa"/>
            <w:shd w:val="clear" w:color="auto" w:fill="auto"/>
            <w:noWrap/>
          </w:tcPr>
          <w:p w14:paraId="64DABC86"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367F5DE3"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126BAE73" w14:textId="77777777" w:rsidTr="00C4246E">
        <w:trPr>
          <w:trHeight w:val="333"/>
          <w:jc w:val="center"/>
        </w:trPr>
        <w:tc>
          <w:tcPr>
            <w:tcW w:w="1690" w:type="dxa"/>
            <w:shd w:val="clear" w:color="auto" w:fill="auto"/>
            <w:noWrap/>
          </w:tcPr>
          <w:p w14:paraId="21FBECB2"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58B427E7"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09D5D906" w14:textId="77777777" w:rsidTr="00C4246E">
        <w:trPr>
          <w:trHeight w:val="333"/>
          <w:jc w:val="center"/>
        </w:trPr>
        <w:tc>
          <w:tcPr>
            <w:tcW w:w="1690" w:type="dxa"/>
            <w:shd w:val="clear" w:color="auto" w:fill="auto"/>
            <w:noWrap/>
          </w:tcPr>
          <w:p w14:paraId="481029F9"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2F271824"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1402A570" w14:textId="77777777" w:rsidTr="00C4246E">
        <w:trPr>
          <w:trHeight w:val="333"/>
          <w:jc w:val="center"/>
        </w:trPr>
        <w:tc>
          <w:tcPr>
            <w:tcW w:w="1690" w:type="dxa"/>
            <w:shd w:val="clear" w:color="auto" w:fill="auto"/>
            <w:noWrap/>
          </w:tcPr>
          <w:p w14:paraId="6BF37AA4"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76B4E002"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25F5A1DD" w14:textId="77777777" w:rsidTr="00C4246E">
        <w:trPr>
          <w:trHeight w:val="333"/>
          <w:jc w:val="center"/>
        </w:trPr>
        <w:tc>
          <w:tcPr>
            <w:tcW w:w="1690" w:type="dxa"/>
            <w:shd w:val="clear" w:color="auto" w:fill="auto"/>
            <w:noWrap/>
          </w:tcPr>
          <w:p w14:paraId="44918524"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1DAD8C8C"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00887EF4" w14:textId="77777777" w:rsidTr="00C4246E">
        <w:trPr>
          <w:trHeight w:val="333"/>
          <w:jc w:val="center"/>
        </w:trPr>
        <w:tc>
          <w:tcPr>
            <w:tcW w:w="1690" w:type="dxa"/>
            <w:shd w:val="clear" w:color="auto" w:fill="auto"/>
            <w:noWrap/>
          </w:tcPr>
          <w:p w14:paraId="5B4F6E4E"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11478A12"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3F5526A5" w14:textId="77777777" w:rsidTr="00C4246E">
        <w:trPr>
          <w:trHeight w:val="333"/>
          <w:jc w:val="center"/>
        </w:trPr>
        <w:tc>
          <w:tcPr>
            <w:tcW w:w="1690" w:type="dxa"/>
            <w:shd w:val="clear" w:color="auto" w:fill="auto"/>
            <w:noWrap/>
          </w:tcPr>
          <w:p w14:paraId="0F7B02C7"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7D263F3E"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349C73E9" w14:textId="77777777" w:rsidTr="00C4246E">
        <w:trPr>
          <w:trHeight w:val="333"/>
          <w:jc w:val="center"/>
        </w:trPr>
        <w:tc>
          <w:tcPr>
            <w:tcW w:w="1690" w:type="dxa"/>
            <w:shd w:val="clear" w:color="auto" w:fill="auto"/>
            <w:noWrap/>
          </w:tcPr>
          <w:p w14:paraId="40B86693"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7D43FF0C"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75A47F10" w14:textId="77777777" w:rsidTr="00C4246E">
        <w:trPr>
          <w:trHeight w:val="333"/>
          <w:jc w:val="center"/>
        </w:trPr>
        <w:tc>
          <w:tcPr>
            <w:tcW w:w="1690" w:type="dxa"/>
            <w:shd w:val="clear" w:color="auto" w:fill="auto"/>
            <w:noWrap/>
          </w:tcPr>
          <w:p w14:paraId="7117718E"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2B6C5278"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r w:rsidR="00C4246E" w:rsidRPr="00820A9B" w14:paraId="4AAE78EA" w14:textId="77777777" w:rsidTr="00C4246E">
        <w:trPr>
          <w:trHeight w:val="333"/>
          <w:jc w:val="center"/>
        </w:trPr>
        <w:tc>
          <w:tcPr>
            <w:tcW w:w="1690" w:type="dxa"/>
            <w:shd w:val="clear" w:color="auto" w:fill="auto"/>
            <w:noWrap/>
          </w:tcPr>
          <w:p w14:paraId="42AB6EDD" w14:textId="77777777" w:rsidR="00C4246E" w:rsidRPr="00B6183A" w:rsidRDefault="00C4246E" w:rsidP="00D75382">
            <w:pPr>
              <w:spacing w:before="120" w:line="240" w:lineRule="auto"/>
              <w:jc w:val="left"/>
              <w:rPr>
                <w:rFonts w:ascii="Franklin Gothic Book" w:hAnsi="Franklin Gothic Book" w:cs="Arial"/>
                <w:sz w:val="20"/>
                <w:highlight w:val="yellow"/>
              </w:rPr>
            </w:pPr>
          </w:p>
        </w:tc>
        <w:tc>
          <w:tcPr>
            <w:tcW w:w="6873" w:type="dxa"/>
            <w:shd w:val="clear" w:color="auto" w:fill="auto"/>
            <w:noWrap/>
          </w:tcPr>
          <w:p w14:paraId="45C8FD69" w14:textId="77777777" w:rsidR="00C4246E" w:rsidRPr="00B6183A" w:rsidRDefault="00C4246E" w:rsidP="00D75382">
            <w:pPr>
              <w:spacing w:before="120" w:line="240" w:lineRule="auto"/>
              <w:jc w:val="left"/>
              <w:rPr>
                <w:rFonts w:ascii="Franklin Gothic Book" w:hAnsi="Franklin Gothic Book" w:cs="Arial"/>
                <w:sz w:val="20"/>
                <w:highlight w:val="yellow"/>
              </w:rPr>
            </w:pPr>
          </w:p>
        </w:tc>
      </w:tr>
    </w:tbl>
    <w:p w14:paraId="226185B2" w14:textId="77777777" w:rsidR="0019256C" w:rsidRDefault="0019256C" w:rsidP="00D75382">
      <w:pPr>
        <w:spacing w:line="240" w:lineRule="auto"/>
      </w:pPr>
    </w:p>
    <w:p w14:paraId="1252CB98" w14:textId="77777777" w:rsidR="00944620" w:rsidRPr="00DB578F" w:rsidRDefault="00944620" w:rsidP="00D75382">
      <w:pPr>
        <w:spacing w:line="240" w:lineRule="auto"/>
        <w:jc w:val="left"/>
        <w:sectPr w:rsidR="00944620" w:rsidRPr="00DB578F" w:rsidSect="00FD43AC">
          <w:headerReference w:type="default" r:id="rId17"/>
          <w:footerReference w:type="default" r:id="rId18"/>
          <w:footerReference w:type="first" r:id="rId19"/>
          <w:pgSz w:w="12240" w:h="15840" w:code="1"/>
          <w:pgMar w:top="1138" w:right="1728" w:bottom="1440" w:left="1728" w:header="864" w:footer="864" w:gutter="0"/>
          <w:pgNumType w:fmt="lowerRoman" w:start="1"/>
          <w:cols w:space="720"/>
          <w:titlePg/>
          <w:docGrid w:linePitch="299"/>
        </w:sectPr>
      </w:pPr>
    </w:p>
    <w:p w14:paraId="0D59361A" w14:textId="77777777" w:rsidR="00E74FB6" w:rsidRPr="0031650D" w:rsidRDefault="00B6183A" w:rsidP="00D75382">
      <w:pPr>
        <w:pStyle w:val="Heading1"/>
        <w:pBdr>
          <w:bottom w:val="none" w:sz="0" w:space="0" w:color="auto"/>
        </w:pBdr>
        <w:spacing w:after="600"/>
      </w:pPr>
      <w:bookmarkStart w:id="0" w:name="_Toc163482964"/>
      <w:bookmarkStart w:id="1" w:name="_Toc183940813"/>
      <w:bookmarkStart w:id="2" w:name="_Toc343676373"/>
      <w:bookmarkStart w:id="3" w:name="_Toc427921403"/>
      <w:r>
        <w:t>–</w:t>
      </w:r>
      <w:r w:rsidR="00E74FB6" w:rsidRPr="0031650D">
        <w:t xml:space="preserve"> </w:t>
      </w:r>
      <w:r w:rsidR="00E74FB6">
        <w:t>Introduction</w:t>
      </w:r>
      <w:bookmarkEnd w:id="0"/>
      <w:bookmarkEnd w:id="1"/>
      <w:bookmarkEnd w:id="2"/>
      <w:bookmarkEnd w:id="3"/>
    </w:p>
    <w:p w14:paraId="327D398B" w14:textId="77777777" w:rsidR="00E74FB6" w:rsidRPr="00CF5F88" w:rsidRDefault="00E40BAA" w:rsidP="00D75382">
      <w:pPr>
        <w:pStyle w:val="Heading2"/>
      </w:pPr>
      <w:bookmarkStart w:id="4" w:name="_Toc427921404"/>
      <w:bookmarkStart w:id="5" w:name="_Toc163482965"/>
      <w:r>
        <w:t>Background</w:t>
      </w:r>
      <w:r w:rsidR="00E4471E">
        <w:t xml:space="preserve"> and Objectives</w:t>
      </w:r>
      <w:bookmarkEnd w:id="4"/>
    </w:p>
    <w:p w14:paraId="091568E2" w14:textId="57AE2C88" w:rsidR="00C825D7" w:rsidRDefault="00D02F27" w:rsidP="00E4471E">
      <w:pPr>
        <w:pStyle w:val="StyleBodyText12ptJustified"/>
      </w:pPr>
      <w:bookmarkStart w:id="6" w:name="_Toc343676375"/>
      <w:r>
        <w:t>The Bedford Basin</w:t>
      </w:r>
      <w:r w:rsidR="00942923">
        <w:rPr>
          <w:rStyle w:val="FootnoteReference"/>
        </w:rPr>
        <w:footnoteReference w:id="2"/>
      </w:r>
      <w:r>
        <w:t xml:space="preserve"> is a relatively small and narrow groundwater basin located within the Upper Temescal Valley in the western portion of Riverside County, C</w:t>
      </w:r>
      <w:r w:rsidR="000B3971">
        <w:t>alifor</w:t>
      </w:r>
      <w:r w:rsidR="000B3971" w:rsidRPr="004D0D25">
        <w:t>nia</w:t>
      </w:r>
      <w:r w:rsidR="00A10EB6" w:rsidRPr="004D0D25">
        <w:t>. Figure 1-1 shows the location of the Bedford Basin within the Upper Temescal Valley</w:t>
      </w:r>
      <w:r w:rsidR="00E26570" w:rsidRPr="004D0D25">
        <w:t xml:space="preserve">, </w:t>
      </w:r>
      <w:r w:rsidR="00A10EB6" w:rsidRPr="004D0D25">
        <w:t>adjacent basins</w:t>
      </w:r>
      <w:r w:rsidR="006C604F" w:rsidRPr="004D0D25">
        <w:t>,</w:t>
      </w:r>
      <w:r w:rsidR="00E26570" w:rsidRPr="004D0D25">
        <w:t xml:space="preserve"> and the Temescal Wash and Bedford Wash</w:t>
      </w:r>
      <w:r w:rsidR="00CB0E68" w:rsidRPr="004D0D25">
        <w:t xml:space="preserve"> watersheds</w:t>
      </w:r>
      <w:r w:rsidR="00C825D7" w:rsidRPr="004D0D25">
        <w:t>.</w:t>
      </w:r>
      <w:r w:rsidR="00D4399D" w:rsidRPr="004D0D25">
        <w:t xml:space="preserve"> Figure 1-</w:t>
      </w:r>
      <w:r w:rsidR="00D4399D" w:rsidRPr="009659A0">
        <w:t>2</w:t>
      </w:r>
      <w:r w:rsidR="00D4399D">
        <w:t xml:space="preserve"> </w:t>
      </w:r>
      <w:r w:rsidR="008A1372">
        <w:t>shows the</w:t>
      </w:r>
      <w:r w:rsidR="000B3971">
        <w:t xml:space="preserve"> current land cover overlying the</w:t>
      </w:r>
      <w:r w:rsidR="008A1372">
        <w:t xml:space="preserve"> Bedford Basin using the most current </w:t>
      </w:r>
      <w:r w:rsidR="0090205E">
        <w:t xml:space="preserve">(2014) </w:t>
      </w:r>
      <w:r w:rsidR="008A1372">
        <w:t>ortho</w:t>
      </w:r>
      <w:r w:rsidR="00D92075">
        <w:t>-</w:t>
      </w:r>
      <w:r w:rsidR="008A1372">
        <w:t xml:space="preserve">rectified aerial imagery </w:t>
      </w:r>
      <w:r w:rsidR="006C604F">
        <w:t>from USDA National Agriculture Imagery Program</w:t>
      </w:r>
      <w:r w:rsidR="008A1372">
        <w:t xml:space="preserve">. </w:t>
      </w:r>
      <w:r w:rsidR="004F5280">
        <w:t xml:space="preserve">Review of the </w:t>
      </w:r>
      <w:r w:rsidR="008A1372">
        <w:t xml:space="preserve">aerial photo shows </w:t>
      </w:r>
      <w:r w:rsidR="000B3971">
        <w:t xml:space="preserve">that the current </w:t>
      </w:r>
      <w:r w:rsidR="004F5280">
        <w:t xml:space="preserve">developed </w:t>
      </w:r>
      <w:r w:rsidR="008A1372">
        <w:t>land use o</w:t>
      </w:r>
      <w:r w:rsidR="000B3971">
        <w:t>ver</w:t>
      </w:r>
      <w:r w:rsidR="008A1372">
        <w:t xml:space="preserve"> the Bedford Basin</w:t>
      </w:r>
      <w:r w:rsidR="004F5280">
        <w:t xml:space="preserve"> occurs primarily on the west side of </w:t>
      </w:r>
      <w:r w:rsidR="000E4CA3">
        <w:t xml:space="preserve">the </w:t>
      </w:r>
      <w:r w:rsidR="004F5280">
        <w:t>Temescal Wash and consist</w:t>
      </w:r>
      <w:r w:rsidR="001739BF">
        <w:t>s</w:t>
      </w:r>
      <w:r w:rsidR="008A1372">
        <w:t xml:space="preserve"> predominantly </w:t>
      </w:r>
      <w:r w:rsidR="001739BF">
        <w:t xml:space="preserve">of </w:t>
      </w:r>
      <w:r w:rsidR="00493451">
        <w:t xml:space="preserve">urban residential, </w:t>
      </w:r>
      <w:r w:rsidR="00195BE5">
        <w:t>commercial</w:t>
      </w:r>
      <w:r w:rsidR="00493451">
        <w:t>,</w:t>
      </w:r>
      <w:r w:rsidR="00195BE5">
        <w:t xml:space="preserve"> and industrial</w:t>
      </w:r>
      <w:r w:rsidR="000E4CA3">
        <w:t xml:space="preserve"> uses</w:t>
      </w:r>
      <w:r w:rsidR="008A1372">
        <w:t xml:space="preserve">. The Temescal Wash is visible on </w:t>
      </w:r>
      <w:r w:rsidR="00E25B94">
        <w:t xml:space="preserve">the </w:t>
      </w:r>
      <w:r w:rsidR="008A1372">
        <w:t xml:space="preserve">aerial photo by sparse to dense </w:t>
      </w:r>
      <w:r w:rsidR="008A1372" w:rsidRPr="00034A75">
        <w:t>vegetat</w:t>
      </w:r>
      <w:r w:rsidR="00E25B94" w:rsidRPr="00034A75">
        <w:t>ion</w:t>
      </w:r>
      <w:r w:rsidR="00E25B94">
        <w:t>. Within the Bedford Basin, t</w:t>
      </w:r>
      <w:r w:rsidR="008A1372">
        <w:t xml:space="preserve">he active </w:t>
      </w:r>
      <w:r w:rsidR="0090205E">
        <w:t xml:space="preserve">flood plain of the </w:t>
      </w:r>
      <w:r w:rsidR="008A1372">
        <w:t>Temescal Wash ranges in width from approximately 200 to 1,</w:t>
      </w:r>
      <w:r w:rsidR="002C7782">
        <w:t>25</w:t>
      </w:r>
      <w:r w:rsidR="008A1372">
        <w:t xml:space="preserve">0 feet. </w:t>
      </w:r>
      <w:r w:rsidR="00E25B94">
        <w:t xml:space="preserve">Surrounding the Bedford Basin </w:t>
      </w:r>
      <w:r w:rsidR="0090205E">
        <w:t xml:space="preserve">are </w:t>
      </w:r>
      <w:r w:rsidR="00E25B94">
        <w:t xml:space="preserve">mostly </w:t>
      </w:r>
      <w:r w:rsidR="0090205E">
        <w:t xml:space="preserve">areas of </w:t>
      </w:r>
      <w:r w:rsidR="00E25B94">
        <w:t>n</w:t>
      </w:r>
      <w:r w:rsidR="008A1372">
        <w:t>ative vegeta</w:t>
      </w:r>
      <w:r w:rsidR="00E25B94">
        <w:t>tion</w:t>
      </w:r>
      <w:r w:rsidR="000B3971">
        <w:t xml:space="preserve"> in the foothills and mountains</w:t>
      </w:r>
      <w:r w:rsidR="008A1372">
        <w:t xml:space="preserve">. </w:t>
      </w:r>
    </w:p>
    <w:p w14:paraId="00250E85" w14:textId="2CDE7F3D" w:rsidR="000E4CA3" w:rsidRDefault="00D02F27" w:rsidP="00E4471E">
      <w:pPr>
        <w:pStyle w:val="StyleBodyText12ptJustified"/>
        <w:rPr>
          <w:rFonts w:cs="Arial"/>
          <w:szCs w:val="22"/>
        </w:rPr>
      </w:pPr>
      <w:r>
        <w:t xml:space="preserve">Historically, groundwater </w:t>
      </w:r>
      <w:r w:rsidR="00C63B64">
        <w:t xml:space="preserve">has been pumped </w:t>
      </w:r>
      <w:r w:rsidR="00CB0E68">
        <w:t xml:space="preserve">from the </w:t>
      </w:r>
      <w:r w:rsidR="0090205E">
        <w:t>Bedford Basin</w:t>
      </w:r>
      <w:r w:rsidR="00CB0E68">
        <w:t xml:space="preserve"> </w:t>
      </w:r>
      <w:r w:rsidR="00C63B64">
        <w:t xml:space="preserve">primarily by </w:t>
      </w:r>
      <w:r w:rsidR="0090205E">
        <w:t xml:space="preserve">private and </w:t>
      </w:r>
      <w:r w:rsidR="00C63B64">
        <w:t xml:space="preserve">public water </w:t>
      </w:r>
      <w:r w:rsidR="0090205E">
        <w:t xml:space="preserve">suppliers </w:t>
      </w:r>
      <w:r w:rsidR="00E4471E">
        <w:t>for non-potable uses.</w:t>
      </w:r>
      <w:bookmarkEnd w:id="5"/>
      <w:bookmarkEnd w:id="6"/>
      <w:r w:rsidR="00E4471E">
        <w:t xml:space="preserve"> </w:t>
      </w:r>
      <w:r w:rsidR="00C738EC">
        <w:rPr>
          <w:rFonts w:cs="Arial"/>
          <w:szCs w:val="22"/>
        </w:rPr>
        <w:t>T</w:t>
      </w:r>
      <w:r w:rsidR="00E4471E">
        <w:rPr>
          <w:rFonts w:cs="Arial"/>
          <w:szCs w:val="22"/>
        </w:rPr>
        <w:t>he three water</w:t>
      </w:r>
      <w:r w:rsidR="0090205E">
        <w:rPr>
          <w:rFonts w:cs="Arial"/>
          <w:szCs w:val="22"/>
        </w:rPr>
        <w:t>-</w:t>
      </w:r>
      <w:r w:rsidR="00E4471E">
        <w:rPr>
          <w:rFonts w:cs="Arial"/>
          <w:szCs w:val="22"/>
        </w:rPr>
        <w:t xml:space="preserve">supply agencies </w:t>
      </w:r>
      <w:r w:rsidR="00700CB4">
        <w:rPr>
          <w:rFonts w:cs="Arial"/>
          <w:szCs w:val="22"/>
        </w:rPr>
        <w:t xml:space="preserve">that </w:t>
      </w:r>
      <w:r w:rsidR="00C738EC">
        <w:rPr>
          <w:rFonts w:cs="Arial"/>
          <w:szCs w:val="22"/>
        </w:rPr>
        <w:t>currently</w:t>
      </w:r>
      <w:r w:rsidR="00700CB4">
        <w:rPr>
          <w:rFonts w:cs="Arial"/>
          <w:szCs w:val="22"/>
        </w:rPr>
        <w:t xml:space="preserve"> produce groundwater from </w:t>
      </w:r>
      <w:r w:rsidR="00E4471E">
        <w:rPr>
          <w:rFonts w:cs="Arial"/>
          <w:szCs w:val="22"/>
        </w:rPr>
        <w:t>the Upper Temescal Valley</w:t>
      </w:r>
      <w:r w:rsidR="00C63B64">
        <w:rPr>
          <w:rFonts w:cs="Arial"/>
          <w:szCs w:val="22"/>
        </w:rPr>
        <w:t xml:space="preserve"> are</w:t>
      </w:r>
      <w:r w:rsidR="00E4471E">
        <w:rPr>
          <w:rFonts w:cs="Arial"/>
          <w:szCs w:val="22"/>
        </w:rPr>
        <w:t xml:space="preserve">: </w:t>
      </w:r>
      <w:r w:rsidR="00942923">
        <w:rPr>
          <w:rFonts w:cs="Arial"/>
          <w:szCs w:val="22"/>
        </w:rPr>
        <w:t xml:space="preserve">the </w:t>
      </w:r>
      <w:r w:rsidR="00E4471E">
        <w:rPr>
          <w:rFonts w:cs="Arial"/>
          <w:szCs w:val="22"/>
        </w:rPr>
        <w:t xml:space="preserve">City of Corona (Corona), </w:t>
      </w:r>
      <w:r w:rsidR="00942923">
        <w:rPr>
          <w:rFonts w:cs="Arial"/>
          <w:szCs w:val="22"/>
        </w:rPr>
        <w:t xml:space="preserve">the </w:t>
      </w:r>
      <w:r w:rsidR="00E4471E">
        <w:rPr>
          <w:rFonts w:cs="Arial"/>
          <w:szCs w:val="22"/>
        </w:rPr>
        <w:t xml:space="preserve">Lee Lake Water District (LLWD), and </w:t>
      </w:r>
      <w:r w:rsidR="0090205E">
        <w:rPr>
          <w:rFonts w:cs="Arial"/>
          <w:szCs w:val="22"/>
        </w:rPr>
        <w:t xml:space="preserve">the </w:t>
      </w:r>
      <w:r w:rsidR="00E4471E">
        <w:rPr>
          <w:rFonts w:cs="Arial"/>
          <w:szCs w:val="22"/>
        </w:rPr>
        <w:t xml:space="preserve">Elsinore Valley </w:t>
      </w:r>
      <w:r w:rsidR="0090205E">
        <w:rPr>
          <w:rFonts w:cs="Arial"/>
          <w:szCs w:val="22"/>
        </w:rPr>
        <w:t xml:space="preserve">Municipal </w:t>
      </w:r>
      <w:r w:rsidR="00E4471E">
        <w:rPr>
          <w:rFonts w:cs="Arial"/>
          <w:szCs w:val="22"/>
        </w:rPr>
        <w:t>Water District (EVMWD)</w:t>
      </w:r>
      <w:r w:rsidR="000E4CA3">
        <w:rPr>
          <w:rFonts w:cs="Arial"/>
          <w:szCs w:val="22"/>
        </w:rPr>
        <w:t>,</w:t>
      </w:r>
      <w:r w:rsidR="00BF044B">
        <w:rPr>
          <w:rFonts w:cs="Arial"/>
          <w:szCs w:val="22"/>
        </w:rPr>
        <w:t xml:space="preserve"> hereafter collectively </w:t>
      </w:r>
      <w:r w:rsidR="000E4CA3">
        <w:rPr>
          <w:rFonts w:cs="Arial"/>
          <w:szCs w:val="22"/>
        </w:rPr>
        <w:t xml:space="preserve">referred </w:t>
      </w:r>
      <w:r w:rsidR="00BF044B">
        <w:rPr>
          <w:rFonts w:cs="Arial"/>
          <w:szCs w:val="22"/>
        </w:rPr>
        <w:t xml:space="preserve">to as the </w:t>
      </w:r>
      <w:r w:rsidR="000E4CA3">
        <w:rPr>
          <w:rFonts w:cs="Arial"/>
          <w:szCs w:val="22"/>
        </w:rPr>
        <w:t>“</w:t>
      </w:r>
      <w:r w:rsidR="00BF044B">
        <w:rPr>
          <w:rFonts w:cs="Arial"/>
          <w:szCs w:val="22"/>
        </w:rPr>
        <w:t>Agencies</w:t>
      </w:r>
      <w:r w:rsidR="00C63B64">
        <w:rPr>
          <w:rFonts w:cs="Arial"/>
          <w:szCs w:val="22"/>
        </w:rPr>
        <w:t>.</w:t>
      </w:r>
      <w:r w:rsidR="000E4CA3">
        <w:rPr>
          <w:rFonts w:cs="Arial"/>
          <w:szCs w:val="22"/>
        </w:rPr>
        <w:t>”</w:t>
      </w:r>
      <w:r w:rsidR="00C63B64">
        <w:rPr>
          <w:rFonts w:cs="Arial"/>
          <w:szCs w:val="22"/>
        </w:rPr>
        <w:t xml:space="preserve"> </w:t>
      </w:r>
    </w:p>
    <w:p w14:paraId="15656259" w14:textId="4FEF3ED0" w:rsidR="00347FDF" w:rsidRDefault="00C63B64" w:rsidP="00E4471E">
      <w:pPr>
        <w:pStyle w:val="StyleBodyText12ptJustified"/>
        <w:rPr>
          <w:rFonts w:cs="Arial"/>
          <w:szCs w:val="22"/>
        </w:rPr>
      </w:pPr>
      <w:r>
        <w:rPr>
          <w:rFonts w:cs="Arial"/>
          <w:szCs w:val="22"/>
        </w:rPr>
        <w:t xml:space="preserve">The </w:t>
      </w:r>
      <w:r w:rsidR="00BF044B">
        <w:rPr>
          <w:rFonts w:cs="Arial"/>
          <w:szCs w:val="22"/>
        </w:rPr>
        <w:t xml:space="preserve">Agencies </w:t>
      </w:r>
      <w:r w:rsidR="000B3971">
        <w:rPr>
          <w:rFonts w:cs="Arial"/>
          <w:szCs w:val="22"/>
        </w:rPr>
        <w:t xml:space="preserve">desire to </w:t>
      </w:r>
      <w:r w:rsidR="00E4471E">
        <w:rPr>
          <w:rFonts w:cs="Arial"/>
          <w:szCs w:val="22"/>
        </w:rPr>
        <w:t>utiliz</w:t>
      </w:r>
      <w:r w:rsidR="000B3971">
        <w:rPr>
          <w:rFonts w:cs="Arial"/>
          <w:szCs w:val="22"/>
        </w:rPr>
        <w:t>e</w:t>
      </w:r>
      <w:r w:rsidR="00E4471E">
        <w:rPr>
          <w:rFonts w:cs="Arial"/>
          <w:szCs w:val="22"/>
        </w:rPr>
        <w:t xml:space="preserve"> </w:t>
      </w:r>
      <w:r w:rsidR="0090205E">
        <w:rPr>
          <w:rFonts w:cs="Arial"/>
          <w:szCs w:val="22"/>
        </w:rPr>
        <w:t xml:space="preserve">the </w:t>
      </w:r>
      <w:r w:rsidR="00E4471E">
        <w:rPr>
          <w:rFonts w:cs="Arial"/>
          <w:szCs w:val="22"/>
        </w:rPr>
        <w:t>Bedford Basin as a potable</w:t>
      </w:r>
      <w:r w:rsidR="00416E47">
        <w:rPr>
          <w:rFonts w:cs="Arial"/>
          <w:szCs w:val="22"/>
        </w:rPr>
        <w:t xml:space="preserve"> water</w:t>
      </w:r>
      <w:r w:rsidR="00B6101B">
        <w:rPr>
          <w:rFonts w:cs="Arial"/>
          <w:szCs w:val="22"/>
        </w:rPr>
        <w:t>-</w:t>
      </w:r>
      <w:r>
        <w:rPr>
          <w:rFonts w:cs="Arial"/>
          <w:szCs w:val="22"/>
        </w:rPr>
        <w:t>supply</w:t>
      </w:r>
      <w:r w:rsidR="000E4CA3">
        <w:rPr>
          <w:rFonts w:cs="Arial"/>
          <w:szCs w:val="22"/>
        </w:rPr>
        <w:t xml:space="preserve"> and</w:t>
      </w:r>
      <w:r w:rsidR="00BF044B">
        <w:rPr>
          <w:rFonts w:cs="Arial"/>
          <w:szCs w:val="22"/>
        </w:rPr>
        <w:t xml:space="preserve"> </w:t>
      </w:r>
      <w:r>
        <w:rPr>
          <w:rFonts w:cs="Arial"/>
          <w:szCs w:val="22"/>
        </w:rPr>
        <w:t xml:space="preserve">are </w:t>
      </w:r>
      <w:r w:rsidR="00E4471E">
        <w:rPr>
          <w:rFonts w:cs="Arial"/>
          <w:szCs w:val="22"/>
        </w:rPr>
        <w:t>interest</w:t>
      </w:r>
      <w:r>
        <w:rPr>
          <w:rFonts w:cs="Arial"/>
          <w:szCs w:val="22"/>
        </w:rPr>
        <w:t>ed</w:t>
      </w:r>
      <w:r w:rsidR="00E26570">
        <w:rPr>
          <w:rFonts w:cs="Arial"/>
          <w:szCs w:val="22"/>
        </w:rPr>
        <w:t xml:space="preserve"> in</w:t>
      </w:r>
      <w:r w:rsidR="00E4471E">
        <w:rPr>
          <w:rFonts w:cs="Arial"/>
          <w:szCs w:val="22"/>
        </w:rPr>
        <w:t xml:space="preserve"> work</w:t>
      </w:r>
      <w:r w:rsidR="00E26570">
        <w:rPr>
          <w:rFonts w:cs="Arial"/>
          <w:szCs w:val="22"/>
        </w:rPr>
        <w:t>ing</w:t>
      </w:r>
      <w:r w:rsidR="00E4471E">
        <w:rPr>
          <w:rFonts w:cs="Arial"/>
          <w:szCs w:val="22"/>
        </w:rPr>
        <w:t xml:space="preserve"> collaboratively to develop </w:t>
      </w:r>
      <w:r w:rsidR="000E4CA3">
        <w:rPr>
          <w:rFonts w:cs="Arial"/>
          <w:szCs w:val="22"/>
        </w:rPr>
        <w:t xml:space="preserve">a </w:t>
      </w:r>
      <w:r w:rsidR="00E4471E">
        <w:rPr>
          <w:rFonts w:cs="Arial"/>
          <w:szCs w:val="22"/>
        </w:rPr>
        <w:t>water-supply project(s) and</w:t>
      </w:r>
      <w:r w:rsidR="008A5AC3">
        <w:rPr>
          <w:rFonts w:cs="Arial"/>
          <w:szCs w:val="22"/>
        </w:rPr>
        <w:t xml:space="preserve"> acquire </w:t>
      </w:r>
      <w:r w:rsidR="000B3A75">
        <w:rPr>
          <w:rFonts w:cs="Arial"/>
          <w:szCs w:val="22"/>
        </w:rPr>
        <w:t xml:space="preserve">grant </w:t>
      </w:r>
      <w:r w:rsidR="00E4471E">
        <w:rPr>
          <w:rFonts w:cs="Arial"/>
          <w:szCs w:val="22"/>
        </w:rPr>
        <w:t>funding</w:t>
      </w:r>
      <w:r w:rsidR="0090205E">
        <w:rPr>
          <w:rFonts w:cs="Arial"/>
          <w:szCs w:val="22"/>
        </w:rPr>
        <w:t xml:space="preserve"> to support</w:t>
      </w:r>
      <w:r w:rsidR="00E4471E">
        <w:rPr>
          <w:rFonts w:cs="Arial"/>
          <w:szCs w:val="22"/>
        </w:rPr>
        <w:t xml:space="preserve"> planning and/or implementation</w:t>
      </w:r>
      <w:r w:rsidR="00347FDF">
        <w:rPr>
          <w:rFonts w:cs="Arial"/>
          <w:szCs w:val="22"/>
        </w:rPr>
        <w:t>.</w:t>
      </w:r>
    </w:p>
    <w:p w14:paraId="6D7AA54E" w14:textId="28499080" w:rsidR="00347FDF" w:rsidRDefault="005726D5" w:rsidP="00E4471E">
      <w:pPr>
        <w:pStyle w:val="StyleBodyText12ptJustified"/>
        <w:rPr>
          <w:rFonts w:cs="Arial"/>
          <w:szCs w:val="22"/>
        </w:rPr>
      </w:pPr>
      <w:r>
        <w:rPr>
          <w:rFonts w:cs="Arial"/>
          <w:szCs w:val="22"/>
        </w:rPr>
        <w:t>The</w:t>
      </w:r>
      <w:r w:rsidR="00BF044B">
        <w:rPr>
          <w:rFonts w:cs="Arial"/>
          <w:szCs w:val="22"/>
        </w:rPr>
        <w:t xml:space="preserve"> A</w:t>
      </w:r>
      <w:r>
        <w:rPr>
          <w:rFonts w:cs="Arial"/>
          <w:szCs w:val="22"/>
        </w:rPr>
        <w:t xml:space="preserve">gencies </w:t>
      </w:r>
      <w:r w:rsidR="00700CB4">
        <w:rPr>
          <w:rFonts w:cs="Arial"/>
          <w:szCs w:val="22"/>
        </w:rPr>
        <w:t>retained</w:t>
      </w:r>
      <w:r w:rsidR="00347FDF">
        <w:rPr>
          <w:rFonts w:cs="Arial"/>
          <w:szCs w:val="22"/>
        </w:rPr>
        <w:t xml:space="preserve"> Wildermuth Environmental, Inc. (WEI) to </w:t>
      </w:r>
      <w:r w:rsidR="00CB5DBC">
        <w:rPr>
          <w:rFonts w:cs="Arial"/>
          <w:szCs w:val="22"/>
        </w:rPr>
        <w:t xml:space="preserve">evaluate the feasibility </w:t>
      </w:r>
      <w:r w:rsidR="00700CB4">
        <w:rPr>
          <w:rFonts w:cs="Arial"/>
          <w:szCs w:val="22"/>
        </w:rPr>
        <w:t xml:space="preserve">of </w:t>
      </w:r>
      <w:r w:rsidR="00CB5DBC">
        <w:rPr>
          <w:rFonts w:cs="Arial"/>
          <w:szCs w:val="22"/>
        </w:rPr>
        <w:t xml:space="preserve">developing </w:t>
      </w:r>
      <w:r w:rsidR="00347FDF">
        <w:rPr>
          <w:rFonts w:cs="Arial"/>
          <w:szCs w:val="22"/>
        </w:rPr>
        <w:t>a potable</w:t>
      </w:r>
      <w:r w:rsidR="00416E47">
        <w:rPr>
          <w:rFonts w:cs="Arial"/>
          <w:szCs w:val="22"/>
        </w:rPr>
        <w:t xml:space="preserve"> </w:t>
      </w:r>
      <w:r w:rsidR="00FC5E72">
        <w:rPr>
          <w:rFonts w:cs="Arial"/>
          <w:szCs w:val="22"/>
        </w:rPr>
        <w:t>water</w:t>
      </w:r>
      <w:r w:rsidR="00B6101B">
        <w:rPr>
          <w:rFonts w:cs="Arial"/>
          <w:szCs w:val="22"/>
        </w:rPr>
        <w:t>-</w:t>
      </w:r>
      <w:r w:rsidR="00FC5E72">
        <w:rPr>
          <w:rFonts w:cs="Arial"/>
          <w:szCs w:val="22"/>
        </w:rPr>
        <w:t>supply</w:t>
      </w:r>
      <w:r w:rsidR="00416E47">
        <w:rPr>
          <w:rFonts w:cs="Arial"/>
          <w:szCs w:val="22"/>
        </w:rPr>
        <w:t xml:space="preserve"> </w:t>
      </w:r>
      <w:r w:rsidR="00CB5DBC">
        <w:rPr>
          <w:rFonts w:cs="Arial"/>
          <w:szCs w:val="22"/>
        </w:rPr>
        <w:t xml:space="preserve">from </w:t>
      </w:r>
      <w:r w:rsidR="00416E47">
        <w:rPr>
          <w:rFonts w:cs="Arial"/>
          <w:szCs w:val="22"/>
        </w:rPr>
        <w:t>the Bedford Basin</w:t>
      </w:r>
      <w:r w:rsidR="00347FDF">
        <w:rPr>
          <w:rFonts w:cs="Arial"/>
          <w:szCs w:val="22"/>
        </w:rPr>
        <w:t xml:space="preserve">. </w:t>
      </w:r>
      <w:r w:rsidR="000B3A75">
        <w:rPr>
          <w:rFonts w:cs="Arial"/>
          <w:szCs w:val="22"/>
        </w:rPr>
        <w:t xml:space="preserve">In the proposal dated December 23, 2013, </w:t>
      </w:r>
      <w:r w:rsidR="00347FDF">
        <w:rPr>
          <w:rFonts w:cs="Arial"/>
          <w:szCs w:val="22"/>
        </w:rPr>
        <w:t xml:space="preserve">WEI recommended the </w:t>
      </w:r>
      <w:r w:rsidR="00CB5DBC">
        <w:rPr>
          <w:rFonts w:cs="Arial"/>
          <w:szCs w:val="22"/>
        </w:rPr>
        <w:t xml:space="preserve">feasibility </w:t>
      </w:r>
      <w:r w:rsidR="00347FDF">
        <w:rPr>
          <w:rFonts w:cs="Arial"/>
          <w:szCs w:val="22"/>
        </w:rPr>
        <w:t>investigation be divided into two</w:t>
      </w:r>
      <w:r w:rsidR="00416E47">
        <w:rPr>
          <w:rFonts w:cs="Arial"/>
          <w:szCs w:val="22"/>
        </w:rPr>
        <w:t xml:space="preserve"> </w:t>
      </w:r>
      <w:r w:rsidR="00347FDF">
        <w:rPr>
          <w:rFonts w:cs="Arial"/>
          <w:szCs w:val="22"/>
        </w:rPr>
        <w:t>phases:</w:t>
      </w:r>
    </w:p>
    <w:p w14:paraId="50965DB5" w14:textId="2EAFBA67" w:rsidR="00A00972" w:rsidRPr="00F05D9A" w:rsidRDefault="00A00972" w:rsidP="00A00972">
      <w:pPr>
        <w:pStyle w:val="StyleBodyText12ptJustified"/>
        <w:ind w:left="720"/>
        <w:jc w:val="left"/>
        <w:rPr>
          <w:rFonts w:cs="Arial"/>
          <w:i/>
          <w:szCs w:val="22"/>
        </w:rPr>
      </w:pPr>
      <w:r w:rsidRPr="00F05D9A">
        <w:rPr>
          <w:rFonts w:cs="Arial"/>
          <w:i/>
          <w:szCs w:val="22"/>
        </w:rPr>
        <w:t>Phase 1 –</w:t>
      </w:r>
      <w:r>
        <w:rPr>
          <w:rFonts w:cs="Arial"/>
          <w:i/>
          <w:szCs w:val="22"/>
        </w:rPr>
        <w:t xml:space="preserve"> D</w:t>
      </w:r>
      <w:r w:rsidRPr="00F05D9A">
        <w:rPr>
          <w:rFonts w:cs="Arial"/>
          <w:i/>
          <w:szCs w:val="22"/>
        </w:rPr>
        <w:t>escri</w:t>
      </w:r>
      <w:r>
        <w:rPr>
          <w:rFonts w:cs="Arial"/>
          <w:i/>
          <w:szCs w:val="22"/>
        </w:rPr>
        <w:t>be</w:t>
      </w:r>
      <w:r w:rsidRPr="00F05D9A">
        <w:rPr>
          <w:rFonts w:cs="Arial"/>
          <w:i/>
          <w:szCs w:val="22"/>
        </w:rPr>
        <w:t xml:space="preserve"> the </w:t>
      </w:r>
      <w:r w:rsidR="00A32547">
        <w:rPr>
          <w:rFonts w:cs="Arial"/>
          <w:i/>
          <w:szCs w:val="22"/>
        </w:rPr>
        <w:t xml:space="preserve">Bedford Basin </w:t>
      </w:r>
      <w:r>
        <w:rPr>
          <w:rFonts w:cs="Arial"/>
          <w:i/>
          <w:szCs w:val="22"/>
        </w:rPr>
        <w:t xml:space="preserve">hydrologic and hydrogeologic </w:t>
      </w:r>
      <w:r w:rsidR="00A32547">
        <w:rPr>
          <w:rFonts w:cs="Arial"/>
          <w:i/>
          <w:szCs w:val="22"/>
        </w:rPr>
        <w:t xml:space="preserve">characteristics </w:t>
      </w:r>
      <w:r>
        <w:rPr>
          <w:rFonts w:cs="Arial"/>
          <w:i/>
          <w:szCs w:val="22"/>
        </w:rPr>
        <w:t xml:space="preserve">that are fundamental to </w:t>
      </w:r>
      <w:r w:rsidRPr="00F05D9A">
        <w:rPr>
          <w:rFonts w:cs="Arial"/>
          <w:i/>
          <w:szCs w:val="22"/>
        </w:rPr>
        <w:t>characteri</w:t>
      </w:r>
      <w:r>
        <w:rPr>
          <w:rFonts w:cs="Arial"/>
          <w:i/>
          <w:szCs w:val="22"/>
        </w:rPr>
        <w:t>zing the water</w:t>
      </w:r>
      <w:r w:rsidR="00A32547">
        <w:rPr>
          <w:rFonts w:cs="Arial"/>
          <w:i/>
          <w:szCs w:val="22"/>
        </w:rPr>
        <w:t>-</w:t>
      </w:r>
      <w:r>
        <w:rPr>
          <w:rFonts w:cs="Arial"/>
          <w:i/>
          <w:szCs w:val="22"/>
        </w:rPr>
        <w:t>supply potential o</w:t>
      </w:r>
      <w:r w:rsidRPr="00F05D9A">
        <w:rPr>
          <w:rFonts w:cs="Arial"/>
          <w:i/>
          <w:szCs w:val="22"/>
        </w:rPr>
        <w:t xml:space="preserve">f the </w:t>
      </w:r>
      <w:r w:rsidR="00613777">
        <w:rPr>
          <w:rFonts w:cs="Arial"/>
          <w:i/>
          <w:szCs w:val="22"/>
        </w:rPr>
        <w:t xml:space="preserve"> </w:t>
      </w:r>
      <w:r w:rsidR="00A32547">
        <w:rPr>
          <w:rFonts w:cs="Arial"/>
          <w:i/>
          <w:szCs w:val="22"/>
        </w:rPr>
        <w:t>b</w:t>
      </w:r>
      <w:r w:rsidR="00A32547" w:rsidRPr="00F05D9A">
        <w:rPr>
          <w:rFonts w:cs="Arial"/>
          <w:i/>
          <w:szCs w:val="22"/>
        </w:rPr>
        <w:t>asin</w:t>
      </w:r>
    </w:p>
    <w:p w14:paraId="3600435D" w14:textId="77777777" w:rsidR="00347FDF" w:rsidRPr="00F05D9A" w:rsidRDefault="00347FDF" w:rsidP="00187AA4">
      <w:pPr>
        <w:pStyle w:val="StyleBodyText12ptJustified"/>
        <w:ind w:left="720"/>
        <w:jc w:val="left"/>
        <w:rPr>
          <w:rFonts w:cs="Arial"/>
          <w:i/>
          <w:szCs w:val="22"/>
        </w:rPr>
      </w:pPr>
      <w:r w:rsidRPr="00F05D9A">
        <w:rPr>
          <w:rFonts w:cs="Arial"/>
          <w:i/>
          <w:szCs w:val="22"/>
        </w:rPr>
        <w:t>Phase 2 –</w:t>
      </w:r>
      <w:r w:rsidR="005726D5">
        <w:rPr>
          <w:rFonts w:cs="Arial"/>
          <w:i/>
          <w:szCs w:val="22"/>
        </w:rPr>
        <w:t xml:space="preserve"> </w:t>
      </w:r>
      <w:r w:rsidR="00F234B5">
        <w:rPr>
          <w:rFonts w:cs="Arial"/>
          <w:i/>
          <w:szCs w:val="22"/>
        </w:rPr>
        <w:t>D</w:t>
      </w:r>
      <w:r w:rsidRPr="00F05D9A">
        <w:rPr>
          <w:rFonts w:cs="Arial"/>
          <w:i/>
          <w:szCs w:val="22"/>
        </w:rPr>
        <w:t>es</w:t>
      </w:r>
      <w:r w:rsidR="00E26570">
        <w:rPr>
          <w:rFonts w:cs="Arial"/>
          <w:i/>
          <w:szCs w:val="22"/>
        </w:rPr>
        <w:t>cribe</w:t>
      </w:r>
      <w:r w:rsidRPr="00F05D9A">
        <w:rPr>
          <w:rFonts w:cs="Arial"/>
          <w:i/>
          <w:szCs w:val="22"/>
        </w:rPr>
        <w:t xml:space="preserve"> </w:t>
      </w:r>
      <w:r w:rsidR="00E26570">
        <w:rPr>
          <w:rFonts w:cs="Arial"/>
          <w:i/>
          <w:szCs w:val="22"/>
        </w:rPr>
        <w:t xml:space="preserve">the </w:t>
      </w:r>
      <w:r w:rsidR="00F234B5">
        <w:rPr>
          <w:rFonts w:cs="Arial"/>
          <w:i/>
          <w:szCs w:val="22"/>
        </w:rPr>
        <w:t xml:space="preserve">potential </w:t>
      </w:r>
      <w:r w:rsidR="00F05D9A" w:rsidRPr="00F05D9A">
        <w:rPr>
          <w:rFonts w:cs="Arial"/>
          <w:i/>
          <w:szCs w:val="22"/>
        </w:rPr>
        <w:t xml:space="preserve">potable water-supply </w:t>
      </w:r>
      <w:r w:rsidRPr="00F05D9A">
        <w:rPr>
          <w:rFonts w:cs="Arial"/>
          <w:i/>
          <w:szCs w:val="22"/>
        </w:rPr>
        <w:t>alternative</w:t>
      </w:r>
      <w:r w:rsidR="00F05D9A" w:rsidRPr="00F05D9A">
        <w:rPr>
          <w:rFonts w:cs="Arial"/>
          <w:i/>
          <w:szCs w:val="22"/>
        </w:rPr>
        <w:t>s</w:t>
      </w:r>
      <w:r w:rsidRPr="00F05D9A">
        <w:rPr>
          <w:rFonts w:cs="Arial"/>
          <w:i/>
          <w:szCs w:val="22"/>
        </w:rPr>
        <w:t xml:space="preserve"> </w:t>
      </w:r>
      <w:r w:rsidR="00E26570">
        <w:rPr>
          <w:rFonts w:cs="Arial"/>
          <w:i/>
          <w:szCs w:val="22"/>
        </w:rPr>
        <w:t>and evaluate</w:t>
      </w:r>
      <w:r w:rsidR="00F05D9A" w:rsidRPr="00F05D9A">
        <w:rPr>
          <w:rFonts w:cs="Arial"/>
          <w:i/>
          <w:szCs w:val="22"/>
        </w:rPr>
        <w:t xml:space="preserve"> the alternatives with respect to yield and cost</w:t>
      </w:r>
    </w:p>
    <w:p w14:paraId="43252A71" w14:textId="4DFD6CFF" w:rsidR="00C93DF4" w:rsidRDefault="00A00972" w:rsidP="00C93DF4">
      <w:pPr>
        <w:pStyle w:val="StyleBodyText12ptJustified"/>
        <w:rPr>
          <w:rFonts w:cs="Arial"/>
          <w:szCs w:val="22"/>
        </w:rPr>
      </w:pPr>
      <w:r>
        <w:rPr>
          <w:rFonts w:cs="Arial"/>
          <w:szCs w:val="22"/>
        </w:rPr>
        <w:t xml:space="preserve">Phase 1 is a necessary first step, and the information generated is </w:t>
      </w:r>
      <w:r w:rsidR="00B96EA9">
        <w:rPr>
          <w:rFonts w:cs="Arial"/>
          <w:szCs w:val="22"/>
        </w:rPr>
        <w:t xml:space="preserve">essential to determining a </w:t>
      </w:r>
      <w:r>
        <w:rPr>
          <w:rFonts w:cs="Arial"/>
          <w:szCs w:val="22"/>
        </w:rPr>
        <w:t>sustainable production rate</w:t>
      </w:r>
      <w:r w:rsidR="00B6101B">
        <w:rPr>
          <w:rFonts w:cs="Arial"/>
          <w:szCs w:val="22"/>
        </w:rPr>
        <w:t>,</w:t>
      </w:r>
      <w:r>
        <w:rPr>
          <w:rFonts w:cs="Arial"/>
          <w:szCs w:val="22"/>
        </w:rPr>
        <w:t xml:space="preserve"> the spatial limitations on production</w:t>
      </w:r>
      <w:r w:rsidR="00B6101B">
        <w:rPr>
          <w:rFonts w:cs="Arial"/>
          <w:szCs w:val="22"/>
        </w:rPr>
        <w:t>,</w:t>
      </w:r>
      <w:r>
        <w:rPr>
          <w:rFonts w:cs="Arial"/>
          <w:szCs w:val="22"/>
        </w:rPr>
        <w:t xml:space="preserve"> </w:t>
      </w:r>
      <w:r w:rsidR="00B6101B">
        <w:rPr>
          <w:rFonts w:cs="Arial"/>
          <w:szCs w:val="22"/>
        </w:rPr>
        <w:t>and the spatial and temporal limitations on ground</w:t>
      </w:r>
      <w:r>
        <w:rPr>
          <w:rFonts w:cs="Arial"/>
          <w:szCs w:val="22"/>
        </w:rPr>
        <w:t xml:space="preserve">water quality </w:t>
      </w:r>
      <w:r w:rsidR="00B6101B">
        <w:rPr>
          <w:rFonts w:cs="Arial"/>
          <w:szCs w:val="22"/>
        </w:rPr>
        <w:t xml:space="preserve">sampling within the basin </w:t>
      </w:r>
      <w:r>
        <w:rPr>
          <w:rFonts w:cs="Arial"/>
          <w:szCs w:val="22"/>
        </w:rPr>
        <w:t xml:space="preserve">necessary to complete the subsequent phase. </w:t>
      </w:r>
      <w:r w:rsidR="00C93DF4">
        <w:rPr>
          <w:rFonts w:cs="Arial"/>
          <w:szCs w:val="22"/>
        </w:rPr>
        <w:t>The objectives of the Phase 1 investigation are to: (i) characterize and describe the physical structure of the Bedford Basin and how it functions as a groundwater reservoir, specifically with respect to recharge, groundwater flow, discharge, storage, and water quality; (ii) characterize the yield of the Bedford Basin; and, (iii) provide recommendations for the Phase 2 investigation.</w:t>
      </w:r>
    </w:p>
    <w:p w14:paraId="23E606CA" w14:textId="1E8286E5" w:rsidR="00A00972" w:rsidRDefault="00A00972" w:rsidP="00A00972">
      <w:pPr>
        <w:pStyle w:val="StyleBodyText12ptJustified"/>
        <w:rPr>
          <w:rFonts w:cs="Arial"/>
          <w:szCs w:val="22"/>
        </w:rPr>
      </w:pPr>
      <w:r>
        <w:rPr>
          <w:rFonts w:cs="Arial"/>
          <w:szCs w:val="22"/>
        </w:rPr>
        <w:t xml:space="preserve">Based on the data collection and </w:t>
      </w:r>
      <w:r w:rsidR="00B96EA9">
        <w:rPr>
          <w:rFonts w:cs="Arial"/>
          <w:szCs w:val="22"/>
        </w:rPr>
        <w:t xml:space="preserve">analyses </w:t>
      </w:r>
      <w:r>
        <w:rPr>
          <w:rFonts w:cs="Arial"/>
          <w:szCs w:val="22"/>
        </w:rPr>
        <w:t xml:space="preserve">conducted in Phase 1 and our progress </w:t>
      </w:r>
      <w:r w:rsidR="00A32547">
        <w:rPr>
          <w:rFonts w:cs="Arial"/>
          <w:szCs w:val="22"/>
        </w:rPr>
        <w:t xml:space="preserve">meeting </w:t>
      </w:r>
      <w:r>
        <w:rPr>
          <w:rFonts w:cs="Arial"/>
          <w:szCs w:val="22"/>
        </w:rPr>
        <w:t>with Corona and EVMWD staff</w:t>
      </w:r>
      <w:r w:rsidR="00B96EA9">
        <w:rPr>
          <w:rFonts w:cs="Arial"/>
          <w:szCs w:val="22"/>
        </w:rPr>
        <w:t>s,</w:t>
      </w:r>
      <w:r>
        <w:rPr>
          <w:rStyle w:val="FootnoteReference"/>
          <w:rFonts w:cs="Arial"/>
          <w:szCs w:val="22"/>
        </w:rPr>
        <w:footnoteReference w:id="3"/>
      </w:r>
      <w:r>
        <w:rPr>
          <w:rFonts w:cs="Arial"/>
          <w:szCs w:val="22"/>
        </w:rPr>
        <w:t xml:space="preserve"> the scope-of-work proposed in WEI’s December 23, 2013 proposal was modified.</w:t>
      </w:r>
    </w:p>
    <w:p w14:paraId="4A9F3E50" w14:textId="0E4B5FD0" w:rsidR="00A00972" w:rsidRDefault="00A00972" w:rsidP="00A00972">
      <w:pPr>
        <w:pStyle w:val="StyleBodyText12ptJustified"/>
        <w:rPr>
          <w:rFonts w:cs="Arial"/>
          <w:szCs w:val="22"/>
        </w:rPr>
      </w:pPr>
      <w:r>
        <w:rPr>
          <w:rFonts w:cs="Arial"/>
          <w:szCs w:val="22"/>
        </w:rPr>
        <w:t xml:space="preserve">The December 23, 2013 proposal contained work to develop a long-term water budget from which the yield of basin could be characterized. The specific approach was to construct </w:t>
      </w:r>
      <w:r w:rsidR="00BD1029">
        <w:rPr>
          <w:rFonts w:cs="Arial"/>
          <w:szCs w:val="22"/>
        </w:rPr>
        <w:t xml:space="preserve">a </w:t>
      </w:r>
      <w:r>
        <w:rPr>
          <w:rFonts w:cs="Arial"/>
          <w:szCs w:val="22"/>
        </w:rPr>
        <w:t xml:space="preserve">water budget using WEI’s R4 surface-water model, historic groundwater production data, evapotranspiration, and sub-surface outflow. During the course of </w:t>
      </w:r>
      <w:r w:rsidR="00B96EA9">
        <w:rPr>
          <w:rFonts w:cs="Arial"/>
          <w:szCs w:val="22"/>
        </w:rPr>
        <w:t xml:space="preserve">the </w:t>
      </w:r>
      <w:r>
        <w:rPr>
          <w:rFonts w:cs="Arial"/>
          <w:szCs w:val="22"/>
        </w:rPr>
        <w:t xml:space="preserve">investigation, </w:t>
      </w:r>
      <w:r w:rsidR="00B96EA9">
        <w:rPr>
          <w:rFonts w:cs="Arial"/>
          <w:szCs w:val="22"/>
        </w:rPr>
        <w:t xml:space="preserve">WEI </w:t>
      </w:r>
      <w:r>
        <w:rPr>
          <w:rFonts w:cs="Arial"/>
          <w:szCs w:val="22"/>
        </w:rPr>
        <w:t xml:space="preserve">noted </w:t>
      </w:r>
      <w:r w:rsidRPr="00F53201">
        <w:rPr>
          <w:rFonts w:cs="Arial"/>
          <w:szCs w:val="22"/>
        </w:rPr>
        <w:t>several limitations</w:t>
      </w:r>
      <w:r>
        <w:rPr>
          <w:rFonts w:cs="Arial"/>
          <w:szCs w:val="22"/>
        </w:rPr>
        <w:t xml:space="preserve"> in the development and application of a historical water budget</w:t>
      </w:r>
      <w:r w:rsidR="00B96EA9">
        <w:rPr>
          <w:rFonts w:cs="Arial"/>
          <w:szCs w:val="22"/>
        </w:rPr>
        <w:t>,</w:t>
      </w:r>
      <w:r>
        <w:rPr>
          <w:rFonts w:cs="Arial"/>
          <w:szCs w:val="22"/>
        </w:rPr>
        <w:t xml:space="preserve"> </w:t>
      </w:r>
      <w:r w:rsidR="00B96EA9">
        <w:rPr>
          <w:rFonts w:cs="Arial"/>
          <w:szCs w:val="22"/>
        </w:rPr>
        <w:t>including</w:t>
      </w:r>
      <w:r>
        <w:rPr>
          <w:rFonts w:cs="Arial"/>
          <w:szCs w:val="22"/>
        </w:rPr>
        <w:t xml:space="preserve">: </w:t>
      </w:r>
    </w:p>
    <w:p w14:paraId="5A264F1D" w14:textId="3328BBF4" w:rsidR="00A00972" w:rsidRDefault="00A00972" w:rsidP="00A00972">
      <w:pPr>
        <w:pStyle w:val="StyleBodyText12ptJustified"/>
        <w:numPr>
          <w:ilvl w:val="0"/>
          <w:numId w:val="44"/>
        </w:numPr>
        <w:rPr>
          <w:rFonts w:cs="Arial"/>
          <w:szCs w:val="22"/>
        </w:rPr>
      </w:pPr>
      <w:r>
        <w:rPr>
          <w:rFonts w:cs="Arial"/>
          <w:szCs w:val="22"/>
        </w:rPr>
        <w:t>The hydrology of the basin is non-stationary</w:t>
      </w:r>
      <w:r w:rsidR="00B96EA9">
        <w:rPr>
          <w:rFonts w:cs="Arial"/>
          <w:szCs w:val="22"/>
        </w:rPr>
        <w:t>,</w:t>
      </w:r>
      <w:r>
        <w:rPr>
          <w:rFonts w:cs="Arial"/>
          <w:szCs w:val="22"/>
        </w:rPr>
        <w:t xml:space="preserve"> meaning that the hydrologic budget in the past cannot be used directly to estimate </w:t>
      </w:r>
      <w:r w:rsidR="00B96EA9">
        <w:rPr>
          <w:rFonts w:cs="Arial"/>
          <w:szCs w:val="22"/>
        </w:rPr>
        <w:t xml:space="preserve">a </w:t>
      </w:r>
      <w:r>
        <w:rPr>
          <w:rFonts w:cs="Arial"/>
          <w:szCs w:val="22"/>
        </w:rPr>
        <w:t>sustainable production rate in the future</w:t>
      </w:r>
      <w:r w:rsidR="00B96EA9">
        <w:rPr>
          <w:rFonts w:cs="Arial"/>
          <w:szCs w:val="22"/>
        </w:rPr>
        <w:t xml:space="preserve">. </w:t>
      </w:r>
    </w:p>
    <w:p w14:paraId="0AB5F364" w14:textId="3A666274" w:rsidR="00A00972" w:rsidRDefault="00A00972" w:rsidP="00A00972">
      <w:pPr>
        <w:pStyle w:val="StyleBodyText12ptJustified"/>
        <w:numPr>
          <w:ilvl w:val="0"/>
          <w:numId w:val="44"/>
        </w:numPr>
        <w:rPr>
          <w:rFonts w:cs="Arial"/>
          <w:szCs w:val="22"/>
        </w:rPr>
      </w:pPr>
      <w:r>
        <w:rPr>
          <w:rFonts w:cs="Arial"/>
          <w:szCs w:val="22"/>
        </w:rPr>
        <w:t xml:space="preserve">The complicated surface-water </w:t>
      </w:r>
      <w:r w:rsidR="00BD1029">
        <w:rPr>
          <w:rFonts w:cs="Arial"/>
          <w:szCs w:val="22"/>
        </w:rPr>
        <w:t xml:space="preserve">and </w:t>
      </w:r>
      <w:r>
        <w:rPr>
          <w:rFonts w:cs="Arial"/>
          <w:szCs w:val="22"/>
        </w:rPr>
        <w:t xml:space="preserve">groundwater interactions that occur in multiple reaches of the Temescal Wash coupled with </w:t>
      </w:r>
      <w:r w:rsidR="00FC5E72">
        <w:rPr>
          <w:rFonts w:cs="Arial"/>
          <w:szCs w:val="22"/>
        </w:rPr>
        <w:t>the small</w:t>
      </w:r>
      <w:r>
        <w:rPr>
          <w:rFonts w:cs="Arial"/>
          <w:szCs w:val="22"/>
        </w:rPr>
        <w:t xml:space="preserve"> regulatory storage volume in the basin relative to </w:t>
      </w:r>
      <w:r w:rsidR="004B16A7">
        <w:rPr>
          <w:rFonts w:cs="Arial"/>
          <w:szCs w:val="22"/>
        </w:rPr>
        <w:t xml:space="preserve">its </w:t>
      </w:r>
      <w:r>
        <w:rPr>
          <w:rFonts w:cs="Arial"/>
          <w:szCs w:val="22"/>
        </w:rPr>
        <w:t xml:space="preserve">large potential for recharge during wet years will profoundly </w:t>
      </w:r>
      <w:r w:rsidR="004B16A7">
        <w:rPr>
          <w:rFonts w:cs="Arial"/>
          <w:szCs w:val="22"/>
        </w:rPr>
        <w:t xml:space="preserve">affect </w:t>
      </w:r>
      <w:r>
        <w:rPr>
          <w:rFonts w:cs="Arial"/>
          <w:szCs w:val="22"/>
        </w:rPr>
        <w:t>sustainable production</w:t>
      </w:r>
      <w:r w:rsidR="00A32547">
        <w:rPr>
          <w:rFonts w:cs="Arial"/>
          <w:szCs w:val="22"/>
        </w:rPr>
        <w:t xml:space="preserve"> from the basin</w:t>
      </w:r>
      <w:r w:rsidR="004B16A7">
        <w:rPr>
          <w:rFonts w:cs="Arial"/>
          <w:szCs w:val="22"/>
        </w:rPr>
        <w:t>.</w:t>
      </w:r>
      <w:r>
        <w:rPr>
          <w:rFonts w:cs="Arial"/>
          <w:szCs w:val="22"/>
        </w:rPr>
        <w:t xml:space="preserve"> </w:t>
      </w:r>
    </w:p>
    <w:p w14:paraId="6C4929FB" w14:textId="3F7D31B4" w:rsidR="00A00972" w:rsidRPr="00A00972" w:rsidRDefault="004B16A7" w:rsidP="00A00972">
      <w:pPr>
        <w:pStyle w:val="StyleBodyText12ptJustified"/>
        <w:numPr>
          <w:ilvl w:val="0"/>
          <w:numId w:val="44"/>
        </w:numPr>
        <w:rPr>
          <w:rFonts w:cs="Arial"/>
          <w:szCs w:val="22"/>
        </w:rPr>
      </w:pPr>
      <w:r>
        <w:rPr>
          <w:rFonts w:cs="Arial"/>
          <w:szCs w:val="22"/>
        </w:rPr>
        <w:t xml:space="preserve">Given the </w:t>
      </w:r>
      <w:r w:rsidR="00A00972">
        <w:rPr>
          <w:rFonts w:cs="Arial"/>
          <w:szCs w:val="22"/>
        </w:rPr>
        <w:t xml:space="preserve">observation that groundwater production </w:t>
      </w:r>
      <w:r>
        <w:rPr>
          <w:rFonts w:cs="Arial"/>
          <w:szCs w:val="22"/>
        </w:rPr>
        <w:t>from</w:t>
      </w:r>
      <w:r w:rsidR="00A00972">
        <w:rPr>
          <w:rFonts w:cs="Arial"/>
          <w:szCs w:val="22"/>
        </w:rPr>
        <w:t xml:space="preserve"> 19</w:t>
      </w:r>
      <w:r w:rsidR="00A32547">
        <w:rPr>
          <w:rFonts w:cs="Arial"/>
          <w:szCs w:val="22"/>
        </w:rPr>
        <w:t xml:space="preserve">84 </w:t>
      </w:r>
      <w:r w:rsidR="00A00972">
        <w:rPr>
          <w:rFonts w:cs="Arial"/>
          <w:szCs w:val="22"/>
        </w:rPr>
        <w:t>to 2014 (</w:t>
      </w:r>
      <w:r>
        <w:rPr>
          <w:rFonts w:cs="Arial"/>
          <w:szCs w:val="22"/>
        </w:rPr>
        <w:t xml:space="preserve">a </w:t>
      </w:r>
      <w:r w:rsidR="00A00972">
        <w:rPr>
          <w:rFonts w:cs="Arial"/>
          <w:szCs w:val="22"/>
        </w:rPr>
        <w:t xml:space="preserve">period of </w:t>
      </w:r>
      <w:r w:rsidR="00A32547">
        <w:rPr>
          <w:rFonts w:cs="Arial"/>
          <w:szCs w:val="22"/>
        </w:rPr>
        <w:t xml:space="preserve">30 </w:t>
      </w:r>
      <w:r w:rsidR="00A00972">
        <w:rPr>
          <w:rFonts w:cs="Arial"/>
          <w:szCs w:val="22"/>
        </w:rPr>
        <w:t xml:space="preserve">years) has been substantially less than </w:t>
      </w:r>
      <w:r>
        <w:rPr>
          <w:rFonts w:cs="Arial"/>
          <w:szCs w:val="22"/>
        </w:rPr>
        <w:t xml:space="preserve">in </w:t>
      </w:r>
      <w:r w:rsidR="00A00972">
        <w:rPr>
          <w:rFonts w:cs="Arial"/>
          <w:szCs w:val="22"/>
        </w:rPr>
        <w:t xml:space="preserve">the past and </w:t>
      </w:r>
      <w:r>
        <w:rPr>
          <w:rFonts w:cs="Arial"/>
          <w:szCs w:val="22"/>
        </w:rPr>
        <w:t xml:space="preserve">that </w:t>
      </w:r>
      <w:r w:rsidR="00A00972">
        <w:rPr>
          <w:rFonts w:cs="Arial"/>
          <w:szCs w:val="22"/>
        </w:rPr>
        <w:t>the basin</w:t>
      </w:r>
      <w:r>
        <w:rPr>
          <w:rFonts w:cs="Arial"/>
          <w:szCs w:val="22"/>
        </w:rPr>
        <w:t>—</w:t>
      </w:r>
      <w:r w:rsidR="00A00972">
        <w:rPr>
          <w:rFonts w:cs="Arial"/>
          <w:szCs w:val="22"/>
        </w:rPr>
        <w:t>based on groundwater level records</w:t>
      </w:r>
      <w:r>
        <w:rPr>
          <w:rFonts w:cs="Arial"/>
          <w:szCs w:val="22"/>
        </w:rPr>
        <w:t>—</w:t>
      </w:r>
      <w:r w:rsidR="00A00972">
        <w:rPr>
          <w:rFonts w:cs="Arial"/>
          <w:szCs w:val="22"/>
        </w:rPr>
        <w:t>has been full</w:t>
      </w:r>
      <w:r>
        <w:rPr>
          <w:rFonts w:cs="Arial"/>
          <w:szCs w:val="22"/>
        </w:rPr>
        <w:t>,</w:t>
      </w:r>
      <w:r w:rsidR="00A00972">
        <w:rPr>
          <w:rFonts w:cs="Arial"/>
          <w:szCs w:val="22"/>
        </w:rPr>
        <w:t xml:space="preserve"> even a water budget derived for the last </w:t>
      </w:r>
      <w:r w:rsidR="00A32547">
        <w:rPr>
          <w:rFonts w:cs="Arial"/>
          <w:szCs w:val="22"/>
        </w:rPr>
        <w:t xml:space="preserve">30 </w:t>
      </w:r>
      <w:r w:rsidR="00A00972">
        <w:rPr>
          <w:rFonts w:cs="Arial"/>
          <w:szCs w:val="22"/>
        </w:rPr>
        <w:t xml:space="preserve">years would </w:t>
      </w:r>
      <w:r>
        <w:rPr>
          <w:rFonts w:cs="Arial"/>
          <w:szCs w:val="22"/>
        </w:rPr>
        <w:t xml:space="preserve">still </w:t>
      </w:r>
      <w:r w:rsidR="00A00972">
        <w:rPr>
          <w:rFonts w:cs="Arial"/>
          <w:szCs w:val="22"/>
        </w:rPr>
        <w:t>understate the sustainable yield</w:t>
      </w:r>
      <w:r w:rsidR="00BD1029">
        <w:rPr>
          <w:rFonts w:cs="Arial"/>
          <w:szCs w:val="22"/>
        </w:rPr>
        <w:t xml:space="preserve"> of the basin</w:t>
      </w:r>
      <w:r w:rsidR="00A00972">
        <w:rPr>
          <w:rFonts w:cs="Arial"/>
          <w:szCs w:val="22"/>
        </w:rPr>
        <w:t>.</w:t>
      </w:r>
    </w:p>
    <w:p w14:paraId="5C797A2D" w14:textId="12E105A3" w:rsidR="00050ED7" w:rsidRDefault="008A5AC3" w:rsidP="00E4471E">
      <w:pPr>
        <w:pStyle w:val="StyleBodyText12ptJustified"/>
        <w:rPr>
          <w:rFonts w:cs="Arial"/>
          <w:szCs w:val="22"/>
        </w:rPr>
      </w:pPr>
      <w:r>
        <w:rPr>
          <w:rFonts w:cs="Arial"/>
          <w:szCs w:val="22"/>
        </w:rPr>
        <w:t>Based on the review of groundwater levels and precipitation records, the Bedfor</w:t>
      </w:r>
      <w:r w:rsidR="002D67C6">
        <w:rPr>
          <w:rFonts w:cs="Arial"/>
          <w:szCs w:val="22"/>
        </w:rPr>
        <w:t>d</w:t>
      </w:r>
      <w:r w:rsidR="00050ED7">
        <w:rPr>
          <w:rFonts w:cs="Arial"/>
          <w:szCs w:val="22"/>
        </w:rPr>
        <w:t xml:space="preserve"> </w:t>
      </w:r>
      <w:r w:rsidR="002D67C6">
        <w:rPr>
          <w:rFonts w:cs="Arial"/>
          <w:szCs w:val="22"/>
        </w:rPr>
        <w:t xml:space="preserve">Basin </w:t>
      </w:r>
      <w:r w:rsidR="00050ED7">
        <w:rPr>
          <w:rFonts w:cs="Arial"/>
          <w:szCs w:val="22"/>
        </w:rPr>
        <w:t>fills fast and rejects recharge when full.</w:t>
      </w:r>
      <w:r w:rsidR="00D17064">
        <w:rPr>
          <w:rFonts w:cs="Arial"/>
          <w:szCs w:val="22"/>
        </w:rPr>
        <w:t xml:space="preserve"> </w:t>
      </w:r>
      <w:r w:rsidR="00050ED7">
        <w:rPr>
          <w:rFonts w:cs="Arial"/>
          <w:szCs w:val="22"/>
        </w:rPr>
        <w:t xml:space="preserve">Groundwater production </w:t>
      </w:r>
      <w:r w:rsidR="00F53201">
        <w:rPr>
          <w:rFonts w:cs="Arial"/>
          <w:szCs w:val="22"/>
        </w:rPr>
        <w:t xml:space="preserve">creates room for recharge. </w:t>
      </w:r>
      <w:r w:rsidR="00050ED7">
        <w:rPr>
          <w:rFonts w:cs="Arial"/>
          <w:szCs w:val="22"/>
        </w:rPr>
        <w:t>This means that in addition to precipitation driving recharge, the history of groundwater production also drives recharge</w:t>
      </w:r>
      <w:r w:rsidR="004B16A7">
        <w:rPr>
          <w:rFonts w:cs="Arial"/>
          <w:szCs w:val="22"/>
        </w:rPr>
        <w:t>:</w:t>
      </w:r>
      <w:r w:rsidR="00050ED7">
        <w:rPr>
          <w:rFonts w:cs="Arial"/>
          <w:szCs w:val="22"/>
        </w:rPr>
        <w:t xml:space="preserve"> more </w:t>
      </w:r>
      <w:r w:rsidR="00F53201">
        <w:rPr>
          <w:rFonts w:cs="Arial"/>
          <w:szCs w:val="22"/>
        </w:rPr>
        <w:t xml:space="preserve">production </w:t>
      </w:r>
      <w:r w:rsidR="00BF044B">
        <w:rPr>
          <w:rFonts w:cs="Arial"/>
          <w:szCs w:val="22"/>
        </w:rPr>
        <w:t xml:space="preserve">can lead </w:t>
      </w:r>
      <w:r>
        <w:rPr>
          <w:rFonts w:cs="Arial"/>
          <w:szCs w:val="22"/>
        </w:rPr>
        <w:t xml:space="preserve">to </w:t>
      </w:r>
      <w:r w:rsidR="00F53201">
        <w:rPr>
          <w:rFonts w:cs="Arial"/>
          <w:szCs w:val="22"/>
        </w:rPr>
        <w:t xml:space="preserve">more recharge. </w:t>
      </w:r>
      <w:r w:rsidR="00050ED7">
        <w:rPr>
          <w:rFonts w:cs="Arial"/>
          <w:szCs w:val="22"/>
        </w:rPr>
        <w:t xml:space="preserve">More recharge </w:t>
      </w:r>
      <w:r w:rsidR="005555DC">
        <w:rPr>
          <w:rFonts w:cs="Arial"/>
          <w:szCs w:val="22"/>
        </w:rPr>
        <w:t xml:space="preserve">creates </w:t>
      </w:r>
      <w:r w:rsidR="00050ED7">
        <w:rPr>
          <w:rFonts w:cs="Arial"/>
          <w:szCs w:val="22"/>
        </w:rPr>
        <w:t xml:space="preserve">more yield. The only way to </w:t>
      </w:r>
      <w:r w:rsidR="00BD1029">
        <w:rPr>
          <w:rFonts w:cs="Arial"/>
          <w:szCs w:val="22"/>
        </w:rPr>
        <w:t>better understand these connected processes</w:t>
      </w:r>
      <w:r w:rsidR="00050ED7">
        <w:rPr>
          <w:rFonts w:cs="Arial"/>
          <w:szCs w:val="22"/>
        </w:rPr>
        <w:t xml:space="preserve"> is to develop surface</w:t>
      </w:r>
      <w:r w:rsidR="00F53201">
        <w:rPr>
          <w:rFonts w:cs="Arial"/>
          <w:szCs w:val="22"/>
        </w:rPr>
        <w:t>-water and ground</w:t>
      </w:r>
      <w:r w:rsidR="00050ED7">
        <w:rPr>
          <w:rFonts w:cs="Arial"/>
          <w:szCs w:val="22"/>
        </w:rPr>
        <w:t>water models that can be</w:t>
      </w:r>
      <w:r>
        <w:rPr>
          <w:rFonts w:cs="Arial"/>
          <w:szCs w:val="22"/>
        </w:rPr>
        <w:t xml:space="preserve"> linked and </w:t>
      </w:r>
      <w:r w:rsidR="00050ED7">
        <w:rPr>
          <w:rFonts w:cs="Arial"/>
          <w:szCs w:val="22"/>
        </w:rPr>
        <w:t>calibrated and then subsequently used to explore the relationship of yield to precipitation, production</w:t>
      </w:r>
      <w:r w:rsidR="00F53201">
        <w:rPr>
          <w:rFonts w:cs="Arial"/>
          <w:szCs w:val="22"/>
        </w:rPr>
        <w:t>,</w:t>
      </w:r>
      <w:r w:rsidR="00050ED7">
        <w:rPr>
          <w:rFonts w:cs="Arial"/>
          <w:szCs w:val="22"/>
        </w:rPr>
        <w:t xml:space="preserve"> and recharge.</w:t>
      </w:r>
    </w:p>
    <w:p w14:paraId="7890ECC3" w14:textId="5DA1EEEB" w:rsidR="00C26F4B" w:rsidRDefault="009B0293" w:rsidP="00E4471E">
      <w:pPr>
        <w:pStyle w:val="StyleBodyText12ptJustified"/>
        <w:rPr>
          <w:rFonts w:cs="Arial"/>
          <w:szCs w:val="22"/>
        </w:rPr>
      </w:pPr>
      <w:r>
        <w:rPr>
          <w:rFonts w:cs="Arial"/>
          <w:szCs w:val="22"/>
        </w:rPr>
        <w:t xml:space="preserve">In-lieu of estimating </w:t>
      </w:r>
      <w:r w:rsidR="00DF158F">
        <w:rPr>
          <w:rFonts w:cs="Arial"/>
          <w:szCs w:val="22"/>
        </w:rPr>
        <w:t>basin</w:t>
      </w:r>
      <w:r>
        <w:rPr>
          <w:rFonts w:cs="Arial"/>
          <w:szCs w:val="22"/>
        </w:rPr>
        <w:t xml:space="preserve"> yield</w:t>
      </w:r>
      <w:r w:rsidR="00050ED7">
        <w:rPr>
          <w:rFonts w:cs="Arial"/>
          <w:szCs w:val="22"/>
        </w:rPr>
        <w:t xml:space="preserve"> from a water budget table</w:t>
      </w:r>
      <w:r w:rsidR="005555DC">
        <w:rPr>
          <w:rFonts w:cs="Arial"/>
          <w:szCs w:val="22"/>
        </w:rPr>
        <w:t xml:space="preserve"> </w:t>
      </w:r>
      <w:r w:rsidR="00050ED7">
        <w:rPr>
          <w:rFonts w:cs="Arial"/>
          <w:szCs w:val="22"/>
        </w:rPr>
        <w:t xml:space="preserve">as </w:t>
      </w:r>
      <w:r w:rsidR="005555DC">
        <w:rPr>
          <w:rFonts w:cs="Arial"/>
          <w:szCs w:val="22"/>
        </w:rPr>
        <w:t xml:space="preserve">originally </w:t>
      </w:r>
      <w:r w:rsidR="009F290B">
        <w:rPr>
          <w:rFonts w:cs="Arial"/>
          <w:szCs w:val="22"/>
        </w:rPr>
        <w:t>proposed</w:t>
      </w:r>
      <w:r w:rsidR="00AB0E67">
        <w:rPr>
          <w:rFonts w:cs="Arial"/>
          <w:szCs w:val="22"/>
        </w:rPr>
        <w:t>,</w:t>
      </w:r>
      <w:r>
        <w:rPr>
          <w:rFonts w:cs="Arial"/>
          <w:szCs w:val="22"/>
        </w:rPr>
        <w:t xml:space="preserve"> </w:t>
      </w:r>
      <w:r w:rsidR="00AB0E67">
        <w:rPr>
          <w:rFonts w:cs="Arial"/>
          <w:szCs w:val="22"/>
        </w:rPr>
        <w:t xml:space="preserve">WEI </w:t>
      </w:r>
      <w:r w:rsidR="00050ED7">
        <w:rPr>
          <w:rFonts w:cs="Arial"/>
          <w:szCs w:val="22"/>
        </w:rPr>
        <w:t xml:space="preserve">developed and </w:t>
      </w:r>
      <w:r w:rsidR="00A00972">
        <w:rPr>
          <w:rFonts w:cs="Arial"/>
          <w:szCs w:val="22"/>
        </w:rPr>
        <w:t>analyzed</w:t>
      </w:r>
      <w:r>
        <w:rPr>
          <w:rFonts w:cs="Arial"/>
          <w:szCs w:val="22"/>
        </w:rPr>
        <w:t xml:space="preserve"> </w:t>
      </w:r>
      <w:r w:rsidR="00DF158F">
        <w:rPr>
          <w:rFonts w:cs="Arial"/>
          <w:szCs w:val="22"/>
        </w:rPr>
        <w:t xml:space="preserve">a </w:t>
      </w:r>
      <w:r>
        <w:rPr>
          <w:rFonts w:cs="Arial"/>
          <w:szCs w:val="22"/>
        </w:rPr>
        <w:t>long time-history of groundwater production, groundwater levels, climate, and land use data to estimate future</w:t>
      </w:r>
      <w:r w:rsidR="00050ED7">
        <w:rPr>
          <w:rFonts w:cs="Arial"/>
          <w:szCs w:val="22"/>
        </w:rPr>
        <w:t xml:space="preserve"> </w:t>
      </w:r>
      <w:r w:rsidR="005555DC">
        <w:rPr>
          <w:rFonts w:cs="Arial"/>
          <w:szCs w:val="22"/>
        </w:rPr>
        <w:t>projected yield</w:t>
      </w:r>
      <w:r>
        <w:rPr>
          <w:rFonts w:cs="Arial"/>
          <w:szCs w:val="22"/>
        </w:rPr>
        <w:t>.</w:t>
      </w:r>
      <w:r w:rsidR="00050ED7">
        <w:rPr>
          <w:rFonts w:cs="Arial"/>
          <w:szCs w:val="22"/>
        </w:rPr>
        <w:t xml:space="preserve"> </w:t>
      </w:r>
      <w:r w:rsidR="005555DC">
        <w:rPr>
          <w:rFonts w:cs="Arial"/>
          <w:szCs w:val="22"/>
        </w:rPr>
        <w:t xml:space="preserve">This projection is limited to recent history and is not indicative of what may be possible under future </w:t>
      </w:r>
      <w:r w:rsidR="00A00972">
        <w:rPr>
          <w:rFonts w:cs="Arial"/>
          <w:szCs w:val="22"/>
        </w:rPr>
        <w:t xml:space="preserve">projected cultural and </w:t>
      </w:r>
      <w:r w:rsidR="005555DC">
        <w:rPr>
          <w:rFonts w:cs="Arial"/>
          <w:szCs w:val="22"/>
        </w:rPr>
        <w:t>groundwater management conditions. The Agen</w:t>
      </w:r>
      <w:r w:rsidR="00A00972">
        <w:rPr>
          <w:rFonts w:cs="Arial"/>
          <w:szCs w:val="22"/>
        </w:rPr>
        <w:t>cies should build and calibrate</w:t>
      </w:r>
      <w:r w:rsidR="005555DC">
        <w:rPr>
          <w:rFonts w:cs="Arial"/>
          <w:szCs w:val="22"/>
        </w:rPr>
        <w:t xml:space="preserve"> </w:t>
      </w:r>
      <w:r w:rsidR="00A00972">
        <w:rPr>
          <w:rFonts w:cs="Arial"/>
          <w:szCs w:val="22"/>
        </w:rPr>
        <w:t>surface</w:t>
      </w:r>
      <w:r w:rsidR="00BD1029">
        <w:rPr>
          <w:rFonts w:cs="Arial"/>
          <w:szCs w:val="22"/>
        </w:rPr>
        <w:t>-water</w:t>
      </w:r>
      <w:r w:rsidR="00A00972">
        <w:rPr>
          <w:rFonts w:cs="Arial"/>
          <w:szCs w:val="22"/>
        </w:rPr>
        <w:t xml:space="preserve"> </w:t>
      </w:r>
      <w:r w:rsidR="005555DC">
        <w:rPr>
          <w:rFonts w:cs="Arial"/>
          <w:szCs w:val="22"/>
        </w:rPr>
        <w:t xml:space="preserve">and groundwater models to explore future projected yields from projected future cultural </w:t>
      </w:r>
      <w:r w:rsidR="00AB0E67">
        <w:rPr>
          <w:rFonts w:cs="Arial"/>
          <w:szCs w:val="22"/>
        </w:rPr>
        <w:t xml:space="preserve">conditions </w:t>
      </w:r>
      <w:r w:rsidR="005555DC">
        <w:rPr>
          <w:rFonts w:cs="Arial"/>
          <w:szCs w:val="22"/>
        </w:rPr>
        <w:t>and groundwater management plans should the</w:t>
      </w:r>
      <w:r w:rsidR="00AB0E67">
        <w:rPr>
          <w:rFonts w:cs="Arial"/>
          <w:szCs w:val="22"/>
        </w:rPr>
        <w:t>y</w:t>
      </w:r>
      <w:r w:rsidR="005555DC">
        <w:rPr>
          <w:rFonts w:cs="Arial"/>
          <w:szCs w:val="22"/>
        </w:rPr>
        <w:t xml:space="preserve"> desire to expand sustainable production beyond the recommendation presented herein</w:t>
      </w:r>
      <w:r w:rsidR="00AB0E67">
        <w:rPr>
          <w:rFonts w:cs="Arial"/>
          <w:szCs w:val="22"/>
        </w:rPr>
        <w:t>.</w:t>
      </w:r>
      <w:r w:rsidR="00613777">
        <w:rPr>
          <w:rFonts w:cs="Arial"/>
          <w:szCs w:val="22"/>
        </w:rPr>
        <w:t xml:space="preserve"> </w:t>
      </w:r>
    </w:p>
    <w:p w14:paraId="1F146BEB" w14:textId="3A4D0655" w:rsidR="00551CFB" w:rsidRDefault="00AB0E67" w:rsidP="007E5C72">
      <w:pPr>
        <w:pStyle w:val="StyleBodyText12ptJustified"/>
      </w:pPr>
      <w:r>
        <w:rPr>
          <w:rFonts w:cs="Arial"/>
          <w:szCs w:val="22"/>
        </w:rPr>
        <w:t xml:space="preserve">Since </w:t>
      </w:r>
      <w:r w:rsidR="005555DC">
        <w:rPr>
          <w:rFonts w:cs="Arial"/>
          <w:szCs w:val="22"/>
        </w:rPr>
        <w:t>the Phase I work</w:t>
      </w:r>
      <w:r>
        <w:rPr>
          <w:rFonts w:cs="Arial"/>
          <w:szCs w:val="22"/>
        </w:rPr>
        <w:t xml:space="preserve"> commenced</w:t>
      </w:r>
      <w:r w:rsidR="005555DC">
        <w:rPr>
          <w:rFonts w:cs="Arial"/>
          <w:szCs w:val="22"/>
        </w:rPr>
        <w:t>, the Sustainable Groundwater Management Act (SGMA) was enacted into law.</w:t>
      </w:r>
      <w:r w:rsidR="00613777">
        <w:rPr>
          <w:rFonts w:cs="Arial"/>
          <w:szCs w:val="22"/>
        </w:rPr>
        <w:t xml:space="preserve"> </w:t>
      </w:r>
      <w:r w:rsidR="005555DC">
        <w:rPr>
          <w:rFonts w:cs="Arial"/>
          <w:szCs w:val="22"/>
        </w:rPr>
        <w:t>The Bedford Basin is considered a high-priority basin pursuant to the SGMA and is subject to the creation and implementation of a sustainable groundwater management plan by 2022.</w:t>
      </w:r>
      <w:r w:rsidR="00613777">
        <w:rPr>
          <w:rFonts w:cs="Arial"/>
          <w:szCs w:val="22"/>
        </w:rPr>
        <w:t xml:space="preserve"> </w:t>
      </w:r>
      <w:r w:rsidR="005555DC">
        <w:rPr>
          <w:rFonts w:cs="Arial"/>
          <w:szCs w:val="22"/>
        </w:rPr>
        <w:t>The SGMA is summarized herein</w:t>
      </w:r>
      <w:r>
        <w:rPr>
          <w:rFonts w:cs="Arial"/>
          <w:szCs w:val="22"/>
        </w:rPr>
        <w:t>,</w:t>
      </w:r>
      <w:r w:rsidR="005555DC">
        <w:rPr>
          <w:rFonts w:cs="Arial"/>
          <w:szCs w:val="22"/>
        </w:rPr>
        <w:t xml:space="preserve"> and the </w:t>
      </w:r>
      <w:r>
        <w:rPr>
          <w:rFonts w:cs="Arial"/>
          <w:szCs w:val="22"/>
        </w:rPr>
        <w:t xml:space="preserve">implications of the </w:t>
      </w:r>
      <w:r w:rsidR="005555DC">
        <w:rPr>
          <w:rFonts w:cs="Arial"/>
          <w:szCs w:val="22"/>
        </w:rPr>
        <w:t xml:space="preserve">SGMA for the Agencies in expanding production from the Bedford Basin </w:t>
      </w:r>
      <w:r>
        <w:rPr>
          <w:rFonts w:cs="Arial"/>
          <w:szCs w:val="22"/>
        </w:rPr>
        <w:t xml:space="preserve">are </w:t>
      </w:r>
      <w:r w:rsidR="005555DC">
        <w:rPr>
          <w:rFonts w:cs="Arial"/>
          <w:szCs w:val="22"/>
        </w:rPr>
        <w:t xml:space="preserve">summarized </w:t>
      </w:r>
      <w:r>
        <w:rPr>
          <w:rFonts w:cs="Arial"/>
          <w:szCs w:val="22"/>
        </w:rPr>
        <w:t xml:space="preserve">in </w:t>
      </w:r>
      <w:r w:rsidR="00BD1029">
        <w:rPr>
          <w:rFonts w:cs="Arial"/>
          <w:szCs w:val="22"/>
        </w:rPr>
        <w:t>Section 4.</w:t>
      </w:r>
    </w:p>
    <w:p w14:paraId="7925A112" w14:textId="77777777" w:rsidR="00C26F4B" w:rsidRPr="0079350E" w:rsidRDefault="00C26F4B" w:rsidP="00C26F4B">
      <w:pPr>
        <w:pStyle w:val="Heading2"/>
        <w:keepNext/>
        <w:keepLines/>
      </w:pPr>
      <w:bookmarkStart w:id="7" w:name="_Toc427921405"/>
      <w:r>
        <w:t>Report Organization</w:t>
      </w:r>
      <w:bookmarkEnd w:id="7"/>
    </w:p>
    <w:p w14:paraId="33A12EB2" w14:textId="701A6AB6" w:rsidR="00C26F4B" w:rsidRDefault="00C26F4B" w:rsidP="00C26F4B">
      <w:pPr>
        <w:pStyle w:val="StyleBodyText12ptJustified"/>
      </w:pPr>
      <w:r>
        <w:t xml:space="preserve">The remainder of </w:t>
      </w:r>
      <w:r w:rsidR="00AB0E67">
        <w:t xml:space="preserve">this </w:t>
      </w:r>
      <w:r>
        <w:t>report is organized into the following sections:</w:t>
      </w:r>
    </w:p>
    <w:p w14:paraId="49891F95" w14:textId="265E7402" w:rsidR="00C26F4B" w:rsidRDefault="00C26F4B" w:rsidP="00C26F4B">
      <w:pPr>
        <w:pStyle w:val="StyleBodyText12ptJustified"/>
      </w:pPr>
      <w:r w:rsidRPr="004F6192">
        <w:rPr>
          <w:i/>
        </w:rPr>
        <w:t xml:space="preserve">Section </w:t>
      </w:r>
      <w:r>
        <w:rPr>
          <w:i/>
        </w:rPr>
        <w:t>2</w:t>
      </w:r>
      <w:r w:rsidRPr="004F6192">
        <w:rPr>
          <w:i/>
        </w:rPr>
        <w:t xml:space="preserve"> –Surface-Water Hydrology</w:t>
      </w:r>
      <w:r>
        <w:t>: This section describes precipitation and climatic trends, watersheds, surface-water discharge</w:t>
      </w:r>
      <w:r w:rsidR="00AB0E67">
        <w:t>,</w:t>
      </w:r>
      <w:r>
        <w:t xml:space="preserve"> and sources of wastewater discharge in the Bedford Basin. </w:t>
      </w:r>
    </w:p>
    <w:p w14:paraId="2C8D6475" w14:textId="73BA6109" w:rsidR="00C26F4B" w:rsidRDefault="00C26F4B" w:rsidP="00C26F4B">
      <w:pPr>
        <w:pStyle w:val="StyleBodyText12ptJustified"/>
      </w:pPr>
      <w:r w:rsidRPr="004F6192">
        <w:rPr>
          <w:i/>
        </w:rPr>
        <w:t xml:space="preserve">Section </w:t>
      </w:r>
      <w:r>
        <w:rPr>
          <w:i/>
        </w:rPr>
        <w:t>3</w:t>
      </w:r>
      <w:r w:rsidRPr="004F6192">
        <w:rPr>
          <w:i/>
        </w:rPr>
        <w:t xml:space="preserve"> –Hydrogeology</w:t>
      </w:r>
      <w:r>
        <w:t xml:space="preserve">: This section describes the geologic setting, aquifer characteristics, recharge, groundwater flow, discharge, storage, and </w:t>
      </w:r>
      <w:r w:rsidR="00AB0E67">
        <w:t xml:space="preserve">the </w:t>
      </w:r>
      <w:r>
        <w:t>groundwater quality of the Bedford Basin.</w:t>
      </w:r>
    </w:p>
    <w:p w14:paraId="051E229F" w14:textId="2328E7C3" w:rsidR="00DF0624" w:rsidRPr="00FE3806" w:rsidRDefault="00DF0624" w:rsidP="00C26F4B">
      <w:pPr>
        <w:pStyle w:val="StyleBodyText12ptJustified"/>
        <w:rPr>
          <w:i/>
        </w:rPr>
      </w:pPr>
      <w:r w:rsidRPr="00DF0624">
        <w:rPr>
          <w:i/>
        </w:rPr>
        <w:t>Section 4 – Sustainable Groundwater Management Act Implications on Groundwater Production from the Bedford Basin</w:t>
      </w:r>
      <w:r w:rsidRPr="00DF0624">
        <w:t xml:space="preserve">: This section summarizes the </w:t>
      </w:r>
      <w:r w:rsidR="00AB0E67">
        <w:t>SGMA</w:t>
      </w:r>
      <w:r>
        <w:t xml:space="preserve"> and its implications to </w:t>
      </w:r>
      <w:r w:rsidR="00BF044B">
        <w:t>the Agencies</w:t>
      </w:r>
      <w:r>
        <w:t xml:space="preserve"> operating within the Bedford Basin.</w:t>
      </w:r>
    </w:p>
    <w:p w14:paraId="4753A15D" w14:textId="0D8B2A0F" w:rsidR="00C26F4B" w:rsidRDefault="00C26F4B" w:rsidP="00C26F4B">
      <w:pPr>
        <w:pStyle w:val="StyleBodyText12ptJustified"/>
      </w:pPr>
      <w:r w:rsidRPr="004F6192">
        <w:rPr>
          <w:i/>
        </w:rPr>
        <w:t xml:space="preserve">Section </w:t>
      </w:r>
      <w:r w:rsidR="00DF0624">
        <w:rPr>
          <w:i/>
        </w:rPr>
        <w:t>5</w:t>
      </w:r>
      <w:r w:rsidR="00DF0624" w:rsidRPr="004F6192">
        <w:rPr>
          <w:i/>
        </w:rPr>
        <w:t xml:space="preserve"> </w:t>
      </w:r>
      <w:r w:rsidRPr="004F6192">
        <w:rPr>
          <w:i/>
        </w:rPr>
        <w:t>–</w:t>
      </w:r>
      <w:r>
        <w:rPr>
          <w:i/>
        </w:rPr>
        <w:t xml:space="preserve"> </w:t>
      </w:r>
      <w:r w:rsidRPr="004F6192">
        <w:rPr>
          <w:i/>
        </w:rPr>
        <w:t>Conclusions</w:t>
      </w:r>
      <w:r>
        <w:rPr>
          <w:i/>
        </w:rPr>
        <w:t xml:space="preserve"> and Recommendations</w:t>
      </w:r>
      <w:r>
        <w:t xml:space="preserve">: This section summarizes the major findings of Phase 1 and provides recommendations </w:t>
      </w:r>
      <w:r w:rsidR="00FD43AC">
        <w:t>before proceeding to Phase 2</w:t>
      </w:r>
      <w:r>
        <w:t>.</w:t>
      </w:r>
    </w:p>
    <w:p w14:paraId="7F590D73" w14:textId="6EA543AE" w:rsidR="00E25B94" w:rsidRDefault="00C26F4B" w:rsidP="002E0BB0">
      <w:pPr>
        <w:pStyle w:val="StyleBodyText12ptJustified"/>
      </w:pPr>
      <w:r w:rsidRPr="004F6192">
        <w:rPr>
          <w:i/>
        </w:rPr>
        <w:t xml:space="preserve">Section </w:t>
      </w:r>
      <w:r w:rsidR="00F84629">
        <w:rPr>
          <w:i/>
        </w:rPr>
        <w:t>6</w:t>
      </w:r>
      <w:r w:rsidR="00F84629" w:rsidRPr="004F6192">
        <w:rPr>
          <w:i/>
        </w:rPr>
        <w:t xml:space="preserve"> </w:t>
      </w:r>
      <w:r w:rsidRPr="004F6192">
        <w:rPr>
          <w:i/>
        </w:rPr>
        <w:t xml:space="preserve">– </w:t>
      </w:r>
      <w:r>
        <w:rPr>
          <w:i/>
        </w:rPr>
        <w:t>References</w:t>
      </w:r>
      <w:r w:rsidR="00F84629">
        <w:rPr>
          <w:i/>
        </w:rPr>
        <w:t>.</w:t>
      </w:r>
    </w:p>
    <w:p w14:paraId="1665F189" w14:textId="77777777" w:rsidR="002E0BB0" w:rsidRPr="002E0BB0" w:rsidRDefault="002E0BB0" w:rsidP="002E0BB0">
      <w:pPr>
        <w:pStyle w:val="StyleBodyText12ptJustified"/>
        <w:sectPr w:rsidR="002E0BB0" w:rsidRPr="002E0BB0" w:rsidSect="004D1467">
          <w:headerReference w:type="even" r:id="rId20"/>
          <w:headerReference w:type="default" r:id="rId21"/>
          <w:headerReference w:type="first" r:id="rId22"/>
          <w:pgSz w:w="12240" w:h="15840" w:code="1"/>
          <w:pgMar w:top="1138" w:right="1728" w:bottom="1440" w:left="1728" w:header="864" w:footer="864" w:gutter="0"/>
          <w:pgNumType w:start="1" w:chapStyle="1"/>
          <w:cols w:space="720"/>
          <w:titlePg/>
        </w:sectPr>
      </w:pPr>
    </w:p>
    <w:p w14:paraId="5FEFD8E1" w14:textId="77777777" w:rsidR="00E74FB6" w:rsidRPr="00460F07" w:rsidRDefault="007F064C" w:rsidP="00D75382">
      <w:pPr>
        <w:pStyle w:val="Heading1"/>
        <w:pBdr>
          <w:bottom w:val="none" w:sz="0" w:space="0" w:color="auto"/>
        </w:pBdr>
        <w:spacing w:after="600"/>
      </w:pPr>
      <w:bookmarkStart w:id="8" w:name="_Toc183940832"/>
      <w:bookmarkStart w:id="9" w:name="_Toc343676435"/>
      <w:bookmarkStart w:id="10" w:name="_Toc427921406"/>
      <w:r>
        <w:t>–</w:t>
      </w:r>
      <w:bookmarkEnd w:id="8"/>
      <w:bookmarkEnd w:id="9"/>
      <w:r w:rsidR="006064DB">
        <w:t xml:space="preserve"> </w:t>
      </w:r>
      <w:r w:rsidR="000C3B27" w:rsidRPr="00ED6A3B">
        <w:t>Surface-Water Hydrology</w:t>
      </w:r>
      <w:bookmarkEnd w:id="10"/>
    </w:p>
    <w:p w14:paraId="303BCA33" w14:textId="0C01EFD4" w:rsidR="00ED3926" w:rsidRPr="00551CFB" w:rsidRDefault="00ED3926" w:rsidP="00856C42">
      <w:pPr>
        <w:pStyle w:val="StyleBodyText12ptJustified"/>
      </w:pPr>
      <w:r w:rsidRPr="00551CFB">
        <w:t>This section contains a description of the hydrology of the Bedford Basin as it can be deduced from available data</w:t>
      </w:r>
      <w:r w:rsidR="00AB0E67">
        <w:t xml:space="preserve"> and</w:t>
      </w:r>
      <w:r w:rsidRPr="00551CFB">
        <w:t xml:space="preserve"> consists of three major subsections: data sources, precipitation, </w:t>
      </w:r>
      <w:r w:rsidR="00A00972">
        <w:t xml:space="preserve">and </w:t>
      </w:r>
      <w:r w:rsidRPr="00551CFB">
        <w:t>surface water hydrology</w:t>
      </w:r>
      <w:r w:rsidR="00A00972">
        <w:t>.</w:t>
      </w:r>
    </w:p>
    <w:p w14:paraId="5A86753A" w14:textId="77777777" w:rsidR="006D6CB2" w:rsidRPr="0079350E" w:rsidRDefault="006D6CB2" w:rsidP="006D6CB2">
      <w:pPr>
        <w:pStyle w:val="Heading2"/>
        <w:keepNext/>
        <w:keepLines/>
      </w:pPr>
      <w:bookmarkStart w:id="11" w:name="_Toc427921407"/>
      <w:r>
        <w:t>Data Sources</w:t>
      </w:r>
      <w:bookmarkEnd w:id="11"/>
      <w:r>
        <w:t xml:space="preserve"> </w:t>
      </w:r>
    </w:p>
    <w:p w14:paraId="734C0636" w14:textId="415A4CB1" w:rsidR="006D6CB2" w:rsidRDefault="006D6CB2" w:rsidP="006D6CB2">
      <w:pPr>
        <w:pStyle w:val="StyleBodyText12ptJustified"/>
      </w:pPr>
      <w:r w:rsidRPr="002E0BB0">
        <w:t xml:space="preserve">The Phase 1 </w:t>
      </w:r>
      <w:r>
        <w:t xml:space="preserve">feasibility </w:t>
      </w:r>
      <w:r w:rsidRPr="002E0BB0">
        <w:t>investigation include</w:t>
      </w:r>
      <w:r>
        <w:t>d</w:t>
      </w:r>
      <w:r w:rsidRPr="002E0BB0">
        <w:t xml:space="preserve"> the collection and analysis of existing reports and data from the Bedford B</w:t>
      </w:r>
      <w:r>
        <w:t>asin and Upper Temescal Valley as well as an assessment of this information to achieve the investigation</w:t>
      </w:r>
      <w:r w:rsidR="00AB0E67">
        <w:t>’</w:t>
      </w:r>
      <w:r>
        <w:t xml:space="preserve">s objectives. </w:t>
      </w:r>
    </w:p>
    <w:p w14:paraId="46974525" w14:textId="403CF060" w:rsidR="006D6CB2" w:rsidRPr="002E0BB0" w:rsidRDefault="006D6CB2" w:rsidP="006D6CB2">
      <w:pPr>
        <w:pStyle w:val="StyleBodyText12ptJustified"/>
      </w:pPr>
      <w:r>
        <w:t>The published</w:t>
      </w:r>
      <w:r w:rsidRPr="002E0BB0">
        <w:t xml:space="preserve"> reports </w:t>
      </w:r>
      <w:r>
        <w:t xml:space="preserve">that were </w:t>
      </w:r>
      <w:r w:rsidRPr="002E0BB0">
        <w:t>collected and reviewed include:</w:t>
      </w:r>
    </w:p>
    <w:p w14:paraId="34447C47" w14:textId="7CDE770D" w:rsidR="006D6CB2" w:rsidRPr="002E0BB0" w:rsidRDefault="006D6CB2" w:rsidP="006D6CB2">
      <w:pPr>
        <w:pStyle w:val="StyleBodyText12ptJustified"/>
        <w:numPr>
          <w:ilvl w:val="0"/>
          <w:numId w:val="26"/>
        </w:numPr>
        <w:spacing w:after="100"/>
      </w:pPr>
      <w:r w:rsidRPr="002E0BB0">
        <w:t>California Division of Mines and Geology Bulletin 178</w:t>
      </w:r>
      <w:r w:rsidR="005B1097">
        <w:t>.</w:t>
      </w:r>
      <w:r w:rsidRPr="002E0BB0">
        <w:t xml:space="preserve"> (1961)</w:t>
      </w:r>
      <w:r w:rsidR="00AB0E67">
        <w:t>.</w:t>
      </w:r>
      <w:r w:rsidRPr="002E0BB0">
        <w:t xml:space="preserve"> </w:t>
      </w:r>
      <w:r w:rsidRPr="00613777">
        <w:rPr>
          <w:i/>
        </w:rPr>
        <w:t>Geology and Mineral Resources of the Corona South Quadrangle</w:t>
      </w:r>
    </w:p>
    <w:p w14:paraId="42606F7B" w14:textId="38391878" w:rsidR="006D6CB2" w:rsidRPr="00906BCB" w:rsidRDefault="006D6CB2" w:rsidP="006D6CB2">
      <w:pPr>
        <w:pStyle w:val="StyleBodyText12ptJustified"/>
        <w:numPr>
          <w:ilvl w:val="0"/>
          <w:numId w:val="26"/>
        </w:numPr>
      </w:pPr>
      <w:r>
        <w:t>GEOSCIENCE Support Services, Inc. (1989)</w:t>
      </w:r>
      <w:r w:rsidR="00AB0E67">
        <w:t>.</w:t>
      </w:r>
      <w:r>
        <w:t xml:space="preserve"> - </w:t>
      </w:r>
      <w:r w:rsidRPr="00613777">
        <w:rPr>
          <w:i/>
        </w:rPr>
        <w:t>Groundwater Evaluation of a Portion of the Lee Lake Subbasin</w:t>
      </w:r>
      <w:r w:rsidR="005B1097">
        <w:t xml:space="preserve">. </w:t>
      </w:r>
      <w:r w:rsidR="005B1097" w:rsidRPr="00613777">
        <w:t xml:space="preserve">Prepared </w:t>
      </w:r>
      <w:r w:rsidRPr="00613777">
        <w:t>for John S. Murk Engineers, Inc.</w:t>
      </w:r>
    </w:p>
    <w:p w14:paraId="08A1AAA9" w14:textId="016C8F3C" w:rsidR="006D6CB2" w:rsidRDefault="006D6CB2" w:rsidP="006D6CB2">
      <w:pPr>
        <w:pStyle w:val="StyleBodyText12ptJustified"/>
        <w:numPr>
          <w:ilvl w:val="0"/>
          <w:numId w:val="26"/>
        </w:numPr>
        <w:spacing w:after="100"/>
      </w:pPr>
      <w:r w:rsidRPr="002E0BB0">
        <w:t>Fox and Roberts</w:t>
      </w:r>
      <w:r w:rsidR="005B1097">
        <w:t>.</w:t>
      </w:r>
      <w:r w:rsidRPr="002E0BB0">
        <w:t xml:space="preserve"> (2005)</w:t>
      </w:r>
      <w:r w:rsidR="005B1097">
        <w:t>.</w:t>
      </w:r>
      <w:r w:rsidRPr="002E0BB0">
        <w:t xml:space="preserve"> </w:t>
      </w:r>
      <w:r w:rsidRPr="00613777">
        <w:rPr>
          <w:i/>
        </w:rPr>
        <w:t>Temescal Canyon Development Project Flagler 2A and 3A Replacement Well Construction Report for EVMWD</w:t>
      </w:r>
    </w:p>
    <w:p w14:paraId="3D1CDB3A" w14:textId="3CBFA9E5" w:rsidR="006D6CB2" w:rsidRPr="002E0BB0" w:rsidRDefault="006D6CB2" w:rsidP="006D6CB2">
      <w:pPr>
        <w:pStyle w:val="StyleBodyText12ptJustified"/>
        <w:numPr>
          <w:ilvl w:val="0"/>
          <w:numId w:val="26"/>
        </w:numPr>
      </w:pPr>
      <w:r>
        <w:t>Todd Engineers/AKM Consulting Engineers</w:t>
      </w:r>
      <w:r w:rsidR="00717253">
        <w:t>.</w:t>
      </w:r>
      <w:r>
        <w:t xml:space="preserve"> (2008)</w:t>
      </w:r>
      <w:r w:rsidR="00717253">
        <w:t>.</w:t>
      </w:r>
      <w:r>
        <w:t xml:space="preserve"> </w:t>
      </w:r>
      <w:r w:rsidRPr="00613777">
        <w:rPr>
          <w:i/>
        </w:rPr>
        <w:t>DRAFT AB 3030 Groundwater Management Plan</w:t>
      </w:r>
    </w:p>
    <w:p w14:paraId="17132500" w14:textId="4B4D851A" w:rsidR="006D6CB2" w:rsidRDefault="006D6CB2" w:rsidP="006D6CB2">
      <w:pPr>
        <w:pStyle w:val="StyleBodyText12ptJustified"/>
        <w:numPr>
          <w:ilvl w:val="0"/>
          <w:numId w:val="26"/>
        </w:numPr>
      </w:pPr>
      <w:r w:rsidRPr="002E0BB0">
        <w:t>California Department of Water Resources (DWR)</w:t>
      </w:r>
      <w:r w:rsidR="00717253">
        <w:t>.</w:t>
      </w:r>
      <w:r w:rsidRPr="002E0BB0">
        <w:t xml:space="preserve"> Water Well Driller’s Reports obtained from </w:t>
      </w:r>
      <w:r w:rsidR="00AB0E67">
        <w:t xml:space="preserve">the </w:t>
      </w:r>
      <w:r w:rsidRPr="002E0BB0">
        <w:t xml:space="preserve">DWR, </w:t>
      </w:r>
      <w:r w:rsidR="00AB0E67">
        <w:t xml:space="preserve">the </w:t>
      </w:r>
      <w:r w:rsidRPr="002E0BB0">
        <w:t xml:space="preserve">Temescal Water Company, </w:t>
      </w:r>
      <w:r w:rsidR="00AB0E67">
        <w:t xml:space="preserve">the </w:t>
      </w:r>
      <w:r w:rsidRPr="002E0BB0">
        <w:t>EVMWD</w:t>
      </w:r>
      <w:r>
        <w:t>,</w:t>
      </w:r>
      <w:r w:rsidRPr="002E0BB0">
        <w:t xml:space="preserve"> and Corona</w:t>
      </w:r>
    </w:p>
    <w:p w14:paraId="547F3E2D" w14:textId="77777777" w:rsidR="006D6CB2" w:rsidRPr="002E0BB0" w:rsidRDefault="006D6CB2" w:rsidP="006D6CB2">
      <w:pPr>
        <w:pStyle w:val="StyleBodyText12ptJustified"/>
      </w:pPr>
      <w:r w:rsidRPr="002E0BB0">
        <w:t>The data sets collected, compiled, and analyzed included:</w:t>
      </w:r>
    </w:p>
    <w:p w14:paraId="308121A2" w14:textId="77777777" w:rsidR="006D6CB2" w:rsidRPr="002E0BB0" w:rsidRDefault="006D6CB2" w:rsidP="006D6CB2">
      <w:pPr>
        <w:pStyle w:val="StyleBodyText12ptJustified"/>
        <w:numPr>
          <w:ilvl w:val="0"/>
          <w:numId w:val="27"/>
        </w:numPr>
        <w:spacing w:after="100"/>
      </w:pPr>
      <w:r w:rsidRPr="002E0BB0">
        <w:t>Wastewater discharge and water</w:t>
      </w:r>
      <w:r>
        <w:t>-</w:t>
      </w:r>
      <w:r w:rsidRPr="002E0BB0">
        <w:t>quality data from Publically-Owned Treatment Works (POTW)</w:t>
      </w:r>
    </w:p>
    <w:p w14:paraId="64F42329" w14:textId="68D5F7CA" w:rsidR="006D6CB2" w:rsidRPr="002E0BB0" w:rsidRDefault="006D6CB2" w:rsidP="006D6CB2">
      <w:pPr>
        <w:pStyle w:val="StyleBodyText12ptJustified"/>
        <w:numPr>
          <w:ilvl w:val="0"/>
          <w:numId w:val="27"/>
        </w:numPr>
        <w:spacing w:after="100"/>
      </w:pPr>
      <w:r w:rsidRPr="002E0BB0">
        <w:t>Groundwater</w:t>
      </w:r>
      <w:r w:rsidR="00717253">
        <w:t xml:space="preserve"> </w:t>
      </w:r>
      <w:r w:rsidRPr="002E0BB0">
        <w:t xml:space="preserve">production data from Corona, </w:t>
      </w:r>
      <w:r w:rsidR="00717253">
        <w:t xml:space="preserve">the </w:t>
      </w:r>
      <w:r w:rsidRPr="002E0BB0">
        <w:t xml:space="preserve">EVMWD, </w:t>
      </w:r>
      <w:r w:rsidR="00717253">
        <w:t xml:space="preserve">the </w:t>
      </w:r>
      <w:r w:rsidRPr="002E0BB0">
        <w:t>Temescal Water Company, and Watermaster Support Services for well</w:t>
      </w:r>
      <w:r>
        <w:t>s</w:t>
      </w:r>
      <w:r w:rsidRPr="002E0BB0">
        <w:t xml:space="preserve"> within the Upper Temescal Valley</w:t>
      </w:r>
    </w:p>
    <w:p w14:paraId="04F5B789" w14:textId="1FE57968" w:rsidR="006D6CB2" w:rsidRPr="002E0BB0" w:rsidRDefault="006D6CB2" w:rsidP="006D6CB2">
      <w:pPr>
        <w:pStyle w:val="StyleBodyText12ptJustified"/>
        <w:numPr>
          <w:ilvl w:val="0"/>
          <w:numId w:val="27"/>
        </w:numPr>
        <w:spacing w:after="100"/>
      </w:pPr>
      <w:r w:rsidRPr="002E0BB0">
        <w:t>Groundwater</w:t>
      </w:r>
      <w:r w:rsidR="00717253">
        <w:t xml:space="preserve"> </w:t>
      </w:r>
      <w:r w:rsidRPr="002E0BB0">
        <w:t xml:space="preserve">level data </w:t>
      </w:r>
      <w:r>
        <w:t>from</w:t>
      </w:r>
      <w:r w:rsidRPr="002E0BB0">
        <w:t xml:space="preserve"> wells within the Upper Temescal Valley</w:t>
      </w:r>
    </w:p>
    <w:p w14:paraId="618EBBDD" w14:textId="416F4719" w:rsidR="006D6CB2" w:rsidRPr="002E0BB0" w:rsidRDefault="006D6CB2" w:rsidP="006D6CB2">
      <w:pPr>
        <w:pStyle w:val="StyleBodyText12ptJustified"/>
        <w:numPr>
          <w:ilvl w:val="0"/>
          <w:numId w:val="27"/>
        </w:numPr>
        <w:spacing w:after="100"/>
      </w:pPr>
      <w:r w:rsidRPr="002E0BB0">
        <w:t>Groundwater</w:t>
      </w:r>
      <w:r w:rsidR="00717253">
        <w:t xml:space="preserve"> </w:t>
      </w:r>
      <w:r w:rsidRPr="002E0BB0">
        <w:t>quality data from wells within the Upper Temescal Valley</w:t>
      </w:r>
    </w:p>
    <w:p w14:paraId="3BC9F6DC" w14:textId="77777777" w:rsidR="006D6CB2" w:rsidRDefault="006D6CB2" w:rsidP="006D6CB2">
      <w:pPr>
        <w:pStyle w:val="StyleBodyText12ptJustified"/>
        <w:numPr>
          <w:ilvl w:val="0"/>
          <w:numId w:val="27"/>
        </w:numPr>
        <w:spacing w:after="100"/>
      </w:pPr>
      <w:r w:rsidRPr="002E0BB0">
        <w:t>Precipitation data collected from the Riverside County Flood Control and Water Conservation District (RCFC&amp;WCD)</w:t>
      </w:r>
    </w:p>
    <w:p w14:paraId="18FD1AAE" w14:textId="65076C63" w:rsidR="006D6CB2" w:rsidRDefault="006D6CB2" w:rsidP="006D6CB2">
      <w:pPr>
        <w:pStyle w:val="ListParagraph"/>
        <w:numPr>
          <w:ilvl w:val="0"/>
          <w:numId w:val="27"/>
        </w:numPr>
      </w:pPr>
      <w:r w:rsidRPr="002E0BB0">
        <w:t>Stream</w:t>
      </w:r>
      <w:r w:rsidR="00717253">
        <w:t xml:space="preserve"> </w:t>
      </w:r>
      <w:r w:rsidRPr="002E0BB0">
        <w:t>discharge data collected from the United States Geological Survey (USGS)</w:t>
      </w:r>
    </w:p>
    <w:p w14:paraId="0F600DDA" w14:textId="40F546C6" w:rsidR="00B6183A" w:rsidRDefault="000C3B27" w:rsidP="006D6CB2">
      <w:pPr>
        <w:pStyle w:val="Heading2"/>
      </w:pPr>
      <w:bookmarkStart w:id="12" w:name="_Toc427921408"/>
      <w:r>
        <w:t>Precipitation</w:t>
      </w:r>
      <w:bookmarkEnd w:id="12"/>
    </w:p>
    <w:p w14:paraId="6B62C03B" w14:textId="37F8ACE4" w:rsidR="006D6CB2" w:rsidRDefault="006D6CB2" w:rsidP="0073318B">
      <w:pPr>
        <w:pStyle w:val="StyleBodyText12ptJustified"/>
      </w:pPr>
      <w:r>
        <w:t xml:space="preserve">Precipitation, in addition to highly infrequent discharges from Lake Elsinore, is the most significant source of natural </w:t>
      </w:r>
      <w:r w:rsidR="00A00972">
        <w:t>recharge</w:t>
      </w:r>
      <w:r>
        <w:t xml:space="preserve"> to the Upper Temescal Valley and the Bedford Basin.</w:t>
      </w:r>
      <w:r w:rsidR="00613777">
        <w:t xml:space="preserve"> </w:t>
      </w:r>
      <w:r>
        <w:t xml:space="preserve">Understanding the </w:t>
      </w:r>
      <w:r w:rsidR="00A00972">
        <w:t xml:space="preserve">sustainable </w:t>
      </w:r>
      <w:r>
        <w:t xml:space="preserve">yield of the basin is dependent on understanding </w:t>
      </w:r>
      <w:r w:rsidR="002F4D86">
        <w:t xml:space="preserve">the spatial and temporal characteristics </w:t>
      </w:r>
      <w:r>
        <w:t>of precipitation.</w:t>
      </w:r>
    </w:p>
    <w:p w14:paraId="7CDD806F" w14:textId="159E7FA2" w:rsidR="00677E20" w:rsidRDefault="009F357E" w:rsidP="0073318B">
      <w:pPr>
        <w:pStyle w:val="StyleBodyText12ptJustified"/>
      </w:pPr>
      <w:r>
        <w:t>L</w:t>
      </w:r>
      <w:r w:rsidR="00E26570">
        <w:t xml:space="preserve">ong-term precipitation </w:t>
      </w:r>
      <w:r>
        <w:t xml:space="preserve">records </w:t>
      </w:r>
      <w:r w:rsidR="00E26570">
        <w:t>from two rainfal</w:t>
      </w:r>
      <w:r w:rsidR="00C46431">
        <w:t xml:space="preserve">l stations </w:t>
      </w:r>
      <w:r w:rsidR="006064DB">
        <w:t>located near the Bedford Basin</w:t>
      </w:r>
      <w:r w:rsidR="00B502DC">
        <w:t xml:space="preserve"> </w:t>
      </w:r>
      <w:r>
        <w:t>were analyzed</w:t>
      </w:r>
      <w:r w:rsidR="00677E20">
        <w:t>:</w:t>
      </w:r>
    </w:p>
    <w:p w14:paraId="36D8B773" w14:textId="163B4343" w:rsidR="00677E20" w:rsidRDefault="00677E20" w:rsidP="00551CFB">
      <w:pPr>
        <w:pStyle w:val="StyleBodyText12ptJustified"/>
        <w:numPr>
          <w:ilvl w:val="0"/>
          <w:numId w:val="36"/>
        </w:numPr>
      </w:pPr>
      <w:r>
        <w:t>Elsinore Station D067 with period of record running from 1898 to 2013</w:t>
      </w:r>
    </w:p>
    <w:p w14:paraId="21F6502F" w14:textId="1E62A263" w:rsidR="00677E20" w:rsidRDefault="00677E20" w:rsidP="00551CFB">
      <w:pPr>
        <w:pStyle w:val="StyleBodyText12ptJustified"/>
        <w:numPr>
          <w:ilvl w:val="0"/>
          <w:numId w:val="36"/>
        </w:numPr>
      </w:pPr>
      <w:r>
        <w:t>Corona Station D035 with period of record running from 1935 to 2013</w:t>
      </w:r>
    </w:p>
    <w:p w14:paraId="208CEB34" w14:textId="5333501C" w:rsidR="006D5968" w:rsidRPr="00F55818" w:rsidRDefault="00677E20" w:rsidP="0073318B">
      <w:pPr>
        <w:pStyle w:val="StyleBodyText12ptJustified"/>
        <w:rPr>
          <w:szCs w:val="22"/>
        </w:rPr>
      </w:pPr>
      <w:r>
        <w:t>The precipitation records at these stations</w:t>
      </w:r>
      <w:r w:rsidR="00C46431">
        <w:t xml:space="preserve"> showed similar patterns of precipitation. </w:t>
      </w:r>
      <w:r w:rsidR="00C738EC">
        <w:t>T</w:t>
      </w:r>
      <w:r w:rsidR="00C46431">
        <w:t xml:space="preserve">he location of the </w:t>
      </w:r>
      <w:r w:rsidR="001B574F">
        <w:t xml:space="preserve">Elsinore </w:t>
      </w:r>
      <w:r w:rsidR="00C46431">
        <w:t xml:space="preserve">Station </w:t>
      </w:r>
      <w:r w:rsidR="001B574F">
        <w:t>D067</w:t>
      </w:r>
      <w:r w:rsidR="006064DB">
        <w:t xml:space="preserve"> </w:t>
      </w:r>
      <w:r w:rsidR="00C738EC">
        <w:t xml:space="preserve">is shown </w:t>
      </w:r>
      <w:r w:rsidR="00717253">
        <w:t>i</w:t>
      </w:r>
      <w:r w:rsidR="00717253" w:rsidRPr="004D0D25">
        <w:t xml:space="preserve">n </w:t>
      </w:r>
      <w:r w:rsidR="00C738EC" w:rsidRPr="004D0D25">
        <w:t>Figure 1-1.</w:t>
      </w:r>
      <w:r w:rsidR="006064DB" w:rsidRPr="004D0D25">
        <w:t xml:space="preserve"> </w:t>
      </w:r>
      <w:r w:rsidR="00C46431" w:rsidRPr="004D0D25">
        <w:t>Figure 2-</w:t>
      </w:r>
      <w:r w:rsidR="00C46431" w:rsidRPr="009659A0">
        <w:t>1</w:t>
      </w:r>
      <w:r w:rsidR="00C46431">
        <w:t xml:space="preserve"> shows </w:t>
      </w:r>
      <w:r w:rsidR="006064DB">
        <w:t xml:space="preserve">the </w:t>
      </w:r>
      <w:r w:rsidR="00C46431">
        <w:t xml:space="preserve">annual precipitation </w:t>
      </w:r>
      <w:r w:rsidR="006064DB">
        <w:t>at this station</w:t>
      </w:r>
      <w:r w:rsidR="00C46431">
        <w:t xml:space="preserve"> and the cumulative departure from mean </w:t>
      </w:r>
      <w:r w:rsidR="001D16ED">
        <w:t xml:space="preserve">(CDFM) </w:t>
      </w:r>
      <w:r w:rsidR="00C46431">
        <w:t>precipitation curve</w:t>
      </w:r>
      <w:r w:rsidR="006D6CB2">
        <w:t xml:space="preserve"> for the period of July 1898 through June 2015</w:t>
      </w:r>
      <w:r w:rsidR="00C46431">
        <w:t xml:space="preserve">. From </w:t>
      </w:r>
      <w:r w:rsidR="001B574F">
        <w:t xml:space="preserve">1898 </w:t>
      </w:r>
      <w:r w:rsidR="00C46431">
        <w:t xml:space="preserve">to </w:t>
      </w:r>
      <w:r w:rsidR="006D6CB2">
        <w:t>2015</w:t>
      </w:r>
      <w:r w:rsidR="00C46431">
        <w:t xml:space="preserve">, average annual precipitation </w:t>
      </w:r>
      <w:r w:rsidR="00C46431" w:rsidRPr="00613777">
        <w:t xml:space="preserve">was </w:t>
      </w:r>
      <w:r w:rsidR="001B574F" w:rsidRPr="00367640">
        <w:t>12.</w:t>
      </w:r>
      <w:r w:rsidR="00367640">
        <w:t>13</w:t>
      </w:r>
      <w:r w:rsidR="00C46431" w:rsidRPr="00613777">
        <w:t xml:space="preserve"> inches</w:t>
      </w:r>
      <w:r w:rsidR="003865C6" w:rsidRPr="00613777">
        <w:t xml:space="preserve">, </w:t>
      </w:r>
      <w:r w:rsidR="00C46431" w:rsidRPr="00613777">
        <w:t xml:space="preserve">maximum annual precipitation was </w:t>
      </w:r>
      <w:r w:rsidR="001B574F" w:rsidRPr="00367640">
        <w:t>33.60</w:t>
      </w:r>
      <w:r w:rsidR="00C46431" w:rsidRPr="00613777">
        <w:t xml:space="preserve"> inches (</w:t>
      </w:r>
      <w:r w:rsidR="001B574F" w:rsidRPr="00613777">
        <w:t>2005</w:t>
      </w:r>
      <w:r w:rsidR="003865C6" w:rsidRPr="00613777">
        <w:t xml:space="preserve">), </w:t>
      </w:r>
      <w:r w:rsidR="00C46431" w:rsidRPr="00613777">
        <w:t xml:space="preserve">and minimum annual precipitation was </w:t>
      </w:r>
      <w:r w:rsidR="001B574F" w:rsidRPr="00367640">
        <w:t>1.97</w:t>
      </w:r>
      <w:r w:rsidR="00C46431" w:rsidRPr="00613777">
        <w:t xml:space="preserve"> inches</w:t>
      </w:r>
      <w:r w:rsidR="00C46431">
        <w:t xml:space="preserve"> (</w:t>
      </w:r>
      <w:r w:rsidR="001B574F">
        <w:t>2007</w:t>
      </w:r>
      <w:r w:rsidR="00C46431">
        <w:t xml:space="preserve">). </w:t>
      </w:r>
      <w:r w:rsidR="00AE3E29" w:rsidRPr="00AE3E29">
        <w:t xml:space="preserve">Precipitation during each year generally </w:t>
      </w:r>
      <w:r w:rsidR="00551CFB" w:rsidRPr="00AE3E29">
        <w:t>occur</w:t>
      </w:r>
      <w:r w:rsidR="00551CFB">
        <w:t>red</w:t>
      </w:r>
      <w:r w:rsidRPr="00AE3E29">
        <w:t xml:space="preserve"> </w:t>
      </w:r>
      <w:r w:rsidR="00AE3E29" w:rsidRPr="00AE3E29">
        <w:t>from November to April, with highest monthly precipitation</w:t>
      </w:r>
      <w:r w:rsidR="001D16ED">
        <w:t xml:space="preserve"> generally occurring</w:t>
      </w:r>
      <w:r w:rsidR="00AE3E29" w:rsidRPr="00AE3E29">
        <w:t xml:space="preserve"> in January and February.</w:t>
      </w:r>
      <w:r w:rsidR="00C46431">
        <w:t xml:space="preserve"> </w:t>
      </w:r>
      <w:r w:rsidR="00C63B92">
        <w:t>For discussion purposes herein, wet years are years when annual precipitation is greater than the station mean annual precipitation</w:t>
      </w:r>
      <w:r w:rsidR="00341A19">
        <w:t xml:space="preserve">, </w:t>
      </w:r>
      <w:r w:rsidR="005B4B50">
        <w:t xml:space="preserve">and </w:t>
      </w:r>
      <w:r w:rsidR="00C63B92">
        <w:t>dry years are years when annual precipitation</w:t>
      </w:r>
      <w:r w:rsidR="005B4B50">
        <w:t xml:space="preserve"> is less than the station</w:t>
      </w:r>
      <w:r w:rsidR="00C63B92">
        <w:t xml:space="preserve"> mean </w:t>
      </w:r>
      <w:r w:rsidR="005B4B50">
        <w:t>annual precipitation.</w:t>
      </w:r>
      <w:r w:rsidR="00C63B92">
        <w:t xml:space="preserve"> </w:t>
      </w:r>
      <w:r w:rsidR="00D17064" w:rsidRPr="00D17064">
        <w:t xml:space="preserve">The CDFM curve illustrates the consecutive and cumulative relationship of each year’s precipitation to the long-term mean. </w:t>
      </w:r>
      <w:r w:rsidR="00D17064">
        <w:t>When the slope of the curve trends downward from left to right</w:t>
      </w:r>
      <w:r w:rsidR="001D16ED">
        <w:t>,</w:t>
      </w:r>
      <w:r w:rsidR="00D17064">
        <w:t xml:space="preserve"> the annual precipitation is less than the average precipitation; when the slope continues downward for </w:t>
      </w:r>
      <w:r w:rsidR="00C63B92">
        <w:t>two or more years</w:t>
      </w:r>
      <w:r w:rsidR="00D17064">
        <w:t xml:space="preserve">, the CDFM </w:t>
      </w:r>
      <w:r w:rsidR="00341A19">
        <w:t xml:space="preserve">indicates </w:t>
      </w:r>
      <w:r w:rsidR="00D17064">
        <w:t xml:space="preserve">a dry period. When the slope of the curve trends upward from left to right, the annual precipitation is greater than the average precipitation; when the slope continues upward for </w:t>
      </w:r>
      <w:r w:rsidR="00C63B92">
        <w:t>two or more years</w:t>
      </w:r>
      <w:r w:rsidR="00D17064">
        <w:t xml:space="preserve">, then the CDFM </w:t>
      </w:r>
      <w:r w:rsidR="00341A19">
        <w:t>indicates</w:t>
      </w:r>
      <w:r w:rsidR="00D17064">
        <w:t xml:space="preserve"> a wet period. </w:t>
      </w:r>
      <w:r w:rsidR="00341A19">
        <w:t>As</w:t>
      </w:r>
      <w:r w:rsidR="00613777">
        <w:t xml:space="preserve"> </w:t>
      </w:r>
      <w:r w:rsidR="00341A19">
        <w:t xml:space="preserve">the </w:t>
      </w:r>
      <w:r w:rsidR="006064DB">
        <w:t xml:space="preserve">CDFM curve </w:t>
      </w:r>
      <w:r w:rsidR="00FE1F41">
        <w:t>show</w:t>
      </w:r>
      <w:r w:rsidR="006064DB">
        <w:t>s</w:t>
      </w:r>
      <w:r w:rsidR="00341A19">
        <w:t>,</w:t>
      </w:r>
      <w:r w:rsidR="00FE1F41">
        <w:t xml:space="preserve"> </w:t>
      </w:r>
      <w:r w:rsidR="00405D95">
        <w:t xml:space="preserve">the Upper Temescal Valley </w:t>
      </w:r>
      <w:r w:rsidR="00FE1F41">
        <w:t xml:space="preserve">experienced the following </w:t>
      </w:r>
      <w:r w:rsidR="00405D95">
        <w:t>wet and dry periods:</w:t>
      </w:r>
    </w:p>
    <w:tbl>
      <w:tblPr>
        <w:tblStyle w:val="TableGrid"/>
        <w:tblW w:w="0" w:type="auto"/>
        <w:jc w:val="center"/>
        <w:tblLook w:val="04A0" w:firstRow="1" w:lastRow="0" w:firstColumn="1" w:lastColumn="0" w:noHBand="0" w:noVBand="1"/>
      </w:tblPr>
      <w:tblGrid>
        <w:gridCol w:w="4066"/>
        <w:gridCol w:w="4020"/>
      </w:tblGrid>
      <w:tr w:rsidR="00442A65" w14:paraId="41BE59D0" w14:textId="77777777" w:rsidTr="00AE4C9A">
        <w:trPr>
          <w:jc w:val="center"/>
        </w:trPr>
        <w:tc>
          <w:tcPr>
            <w:tcW w:w="0" w:type="auto"/>
            <w:tcBorders>
              <w:top w:val="single" w:sz="4" w:space="0" w:color="000090"/>
              <w:left w:val="single" w:sz="4" w:space="0" w:color="000090"/>
              <w:bottom w:val="nil"/>
              <w:right w:val="single" w:sz="4" w:space="0" w:color="FFFFFF" w:themeColor="background1"/>
            </w:tcBorders>
            <w:shd w:val="clear" w:color="auto" w:fill="000090"/>
            <w:vAlign w:val="center"/>
          </w:tcPr>
          <w:p w14:paraId="5262C618" w14:textId="73711028" w:rsidR="00442A65" w:rsidRPr="0073318B" w:rsidRDefault="00442A65" w:rsidP="00AE4C9A">
            <w:pPr>
              <w:pStyle w:val="StyleBodyText12ptJustified"/>
              <w:spacing w:after="100"/>
              <w:jc w:val="center"/>
              <w:rPr>
                <w:b/>
                <w:color w:val="FFFFFF" w:themeColor="background1"/>
                <w:sz w:val="20"/>
              </w:rPr>
            </w:pPr>
            <w:r w:rsidRPr="0073318B">
              <w:rPr>
                <w:b/>
                <w:color w:val="FFFFFF" w:themeColor="background1"/>
                <w:sz w:val="20"/>
              </w:rPr>
              <w:t>Dry Periods</w:t>
            </w:r>
          </w:p>
        </w:tc>
        <w:tc>
          <w:tcPr>
            <w:tcW w:w="0" w:type="auto"/>
            <w:tcBorders>
              <w:top w:val="single" w:sz="4" w:space="0" w:color="000090"/>
              <w:left w:val="single" w:sz="4" w:space="0" w:color="FFFFFF" w:themeColor="background1"/>
              <w:bottom w:val="nil"/>
              <w:right w:val="single" w:sz="4" w:space="0" w:color="000090"/>
            </w:tcBorders>
            <w:shd w:val="clear" w:color="auto" w:fill="000090"/>
            <w:vAlign w:val="center"/>
          </w:tcPr>
          <w:p w14:paraId="568450A4" w14:textId="62199AA2" w:rsidR="00442A65" w:rsidRPr="0073318B" w:rsidRDefault="00442A65" w:rsidP="00AE4C9A">
            <w:pPr>
              <w:pStyle w:val="StyleBodyText12ptJustified"/>
              <w:spacing w:after="100"/>
              <w:jc w:val="center"/>
              <w:rPr>
                <w:b/>
                <w:color w:val="FFFFFF" w:themeColor="background1"/>
                <w:sz w:val="20"/>
              </w:rPr>
            </w:pPr>
            <w:r w:rsidRPr="0073318B">
              <w:rPr>
                <w:b/>
                <w:color w:val="FFFFFF" w:themeColor="background1"/>
                <w:sz w:val="20"/>
              </w:rPr>
              <w:t>Wet Periods</w:t>
            </w:r>
          </w:p>
        </w:tc>
      </w:tr>
      <w:tr w:rsidR="00180E4C" w14:paraId="76F7A69F" w14:textId="10ABD7E8" w:rsidTr="00180E4C">
        <w:trPr>
          <w:cantSplit/>
          <w:trHeight w:hRule="exact" w:val="288"/>
          <w:jc w:val="center"/>
        </w:trPr>
        <w:tc>
          <w:tcPr>
            <w:tcW w:w="0" w:type="auto"/>
            <w:tcBorders>
              <w:top w:val="nil"/>
              <w:left w:val="single" w:sz="4" w:space="0" w:color="000090"/>
              <w:bottom w:val="nil"/>
              <w:right w:val="single" w:sz="4" w:space="0" w:color="000090"/>
            </w:tcBorders>
          </w:tcPr>
          <w:p w14:paraId="081C4C0D" w14:textId="3377036E" w:rsidR="00180E4C" w:rsidRPr="0073318B" w:rsidRDefault="00180E4C" w:rsidP="00C01A0E">
            <w:pPr>
              <w:pStyle w:val="StyleBodyText12ptJustified"/>
              <w:spacing w:after="100"/>
              <w:jc w:val="left"/>
              <w:rPr>
                <w:sz w:val="20"/>
              </w:rPr>
            </w:pPr>
            <w:r>
              <w:rPr>
                <w:sz w:val="20"/>
              </w:rPr>
              <w:t>7</w:t>
            </w:r>
            <w:r w:rsidRPr="0073318B">
              <w:rPr>
                <w:sz w:val="20"/>
              </w:rPr>
              <w:t>-year dry period from 1898 through 1904</w:t>
            </w:r>
          </w:p>
        </w:tc>
        <w:tc>
          <w:tcPr>
            <w:tcW w:w="0" w:type="auto"/>
            <w:tcBorders>
              <w:top w:val="nil"/>
              <w:left w:val="single" w:sz="4" w:space="0" w:color="000090"/>
              <w:bottom w:val="nil"/>
              <w:right w:val="single" w:sz="4" w:space="0" w:color="000090"/>
            </w:tcBorders>
          </w:tcPr>
          <w:p w14:paraId="2DA390D2" w14:textId="4A25F023" w:rsidR="00180E4C" w:rsidRPr="0073318B" w:rsidRDefault="00180E4C" w:rsidP="00C01A0E">
            <w:pPr>
              <w:pStyle w:val="StyleBodyText12ptJustified"/>
              <w:spacing w:after="100"/>
              <w:jc w:val="left"/>
              <w:rPr>
                <w:sz w:val="20"/>
              </w:rPr>
            </w:pPr>
          </w:p>
        </w:tc>
      </w:tr>
      <w:tr w:rsidR="00180E4C" w14:paraId="0515073A" w14:textId="67764E97" w:rsidTr="00180E4C">
        <w:trPr>
          <w:cantSplit/>
          <w:trHeight w:hRule="exact" w:val="288"/>
          <w:jc w:val="center"/>
        </w:trPr>
        <w:tc>
          <w:tcPr>
            <w:tcW w:w="0" w:type="auto"/>
            <w:tcBorders>
              <w:top w:val="nil"/>
              <w:left w:val="single" w:sz="4" w:space="0" w:color="000090"/>
              <w:bottom w:val="nil"/>
              <w:right w:val="single" w:sz="4" w:space="0" w:color="000090"/>
            </w:tcBorders>
          </w:tcPr>
          <w:p w14:paraId="51F61452" w14:textId="29E27FD1" w:rsidR="00180E4C" w:rsidRDefault="00180E4C" w:rsidP="00C01A0E">
            <w:pPr>
              <w:pStyle w:val="StyleBodyText12ptJustified"/>
              <w:spacing w:after="100"/>
              <w:jc w:val="left"/>
              <w:rPr>
                <w:sz w:val="20"/>
              </w:rPr>
            </w:pPr>
          </w:p>
        </w:tc>
        <w:tc>
          <w:tcPr>
            <w:tcW w:w="0" w:type="auto"/>
            <w:tcBorders>
              <w:top w:val="nil"/>
              <w:left w:val="single" w:sz="4" w:space="0" w:color="000090"/>
              <w:bottom w:val="nil"/>
              <w:right w:val="single" w:sz="4" w:space="0" w:color="000090"/>
            </w:tcBorders>
          </w:tcPr>
          <w:p w14:paraId="15C015E7" w14:textId="6ABED7FF" w:rsidR="00180E4C" w:rsidRPr="0073318B" w:rsidRDefault="00180E4C" w:rsidP="00C01A0E">
            <w:pPr>
              <w:pStyle w:val="StyleBodyText12ptJustified"/>
              <w:spacing w:after="100"/>
              <w:jc w:val="left"/>
              <w:rPr>
                <w:sz w:val="20"/>
              </w:rPr>
            </w:pPr>
            <w:r w:rsidRPr="0073318B">
              <w:rPr>
                <w:sz w:val="20"/>
              </w:rPr>
              <w:t>1</w:t>
            </w:r>
            <w:r>
              <w:rPr>
                <w:sz w:val="20"/>
              </w:rPr>
              <w:t>3</w:t>
            </w:r>
            <w:r w:rsidRPr="0073318B">
              <w:rPr>
                <w:sz w:val="20"/>
              </w:rPr>
              <w:t>-year wet period from 1905 through 1917</w:t>
            </w:r>
          </w:p>
        </w:tc>
      </w:tr>
      <w:tr w:rsidR="00180E4C" w14:paraId="5D0D6CC7" w14:textId="05181ADE" w:rsidTr="00180E4C">
        <w:trPr>
          <w:cantSplit/>
          <w:trHeight w:hRule="exact" w:val="288"/>
          <w:jc w:val="center"/>
        </w:trPr>
        <w:tc>
          <w:tcPr>
            <w:tcW w:w="0" w:type="auto"/>
            <w:tcBorders>
              <w:top w:val="nil"/>
              <w:left w:val="single" w:sz="4" w:space="0" w:color="000090"/>
              <w:bottom w:val="nil"/>
              <w:right w:val="single" w:sz="4" w:space="0" w:color="000090"/>
            </w:tcBorders>
          </w:tcPr>
          <w:p w14:paraId="215CF248" w14:textId="42A63CC9" w:rsidR="00180E4C" w:rsidRDefault="00180E4C" w:rsidP="00C01A0E">
            <w:pPr>
              <w:pStyle w:val="StyleBodyText12ptJustified"/>
              <w:spacing w:after="100"/>
              <w:jc w:val="left"/>
              <w:rPr>
                <w:sz w:val="20"/>
              </w:rPr>
            </w:pPr>
            <w:r w:rsidRPr="0073318B">
              <w:rPr>
                <w:sz w:val="20"/>
              </w:rPr>
              <w:t>1</w:t>
            </w:r>
            <w:r>
              <w:rPr>
                <w:sz w:val="20"/>
              </w:rPr>
              <w:t>9</w:t>
            </w:r>
            <w:r w:rsidRPr="0073318B">
              <w:rPr>
                <w:sz w:val="20"/>
              </w:rPr>
              <w:t>-year dry period from 1918 through 1936</w:t>
            </w:r>
          </w:p>
        </w:tc>
        <w:tc>
          <w:tcPr>
            <w:tcW w:w="0" w:type="auto"/>
            <w:tcBorders>
              <w:top w:val="nil"/>
              <w:left w:val="single" w:sz="4" w:space="0" w:color="000090"/>
              <w:bottom w:val="nil"/>
              <w:right w:val="single" w:sz="4" w:space="0" w:color="000090"/>
            </w:tcBorders>
          </w:tcPr>
          <w:p w14:paraId="12C2FA6A" w14:textId="6CB39FE9" w:rsidR="00180E4C" w:rsidRPr="0073318B" w:rsidRDefault="00180E4C" w:rsidP="00C01A0E">
            <w:pPr>
              <w:pStyle w:val="StyleBodyText12ptJustified"/>
              <w:spacing w:after="100"/>
              <w:jc w:val="left"/>
              <w:rPr>
                <w:sz w:val="20"/>
              </w:rPr>
            </w:pPr>
          </w:p>
        </w:tc>
      </w:tr>
      <w:tr w:rsidR="00180E4C" w14:paraId="5DBEB6BC" w14:textId="000C0FC8" w:rsidTr="00180E4C">
        <w:trPr>
          <w:cantSplit/>
          <w:trHeight w:hRule="exact" w:val="288"/>
          <w:jc w:val="center"/>
        </w:trPr>
        <w:tc>
          <w:tcPr>
            <w:tcW w:w="0" w:type="auto"/>
            <w:tcBorders>
              <w:top w:val="nil"/>
              <w:left w:val="single" w:sz="4" w:space="0" w:color="000090"/>
              <w:bottom w:val="nil"/>
              <w:right w:val="single" w:sz="4" w:space="0" w:color="000090"/>
            </w:tcBorders>
          </w:tcPr>
          <w:p w14:paraId="322CAEF3" w14:textId="77E8932A" w:rsidR="00180E4C" w:rsidRDefault="00180E4C" w:rsidP="00C01A0E">
            <w:pPr>
              <w:pStyle w:val="StyleBodyText12ptJustified"/>
              <w:spacing w:after="100"/>
              <w:jc w:val="left"/>
              <w:rPr>
                <w:sz w:val="20"/>
              </w:rPr>
            </w:pPr>
          </w:p>
        </w:tc>
        <w:tc>
          <w:tcPr>
            <w:tcW w:w="0" w:type="auto"/>
            <w:tcBorders>
              <w:top w:val="nil"/>
              <w:left w:val="single" w:sz="4" w:space="0" w:color="000090"/>
              <w:bottom w:val="nil"/>
              <w:right w:val="single" w:sz="4" w:space="0" w:color="000090"/>
            </w:tcBorders>
          </w:tcPr>
          <w:p w14:paraId="6712F7F1" w14:textId="5DF5A91D" w:rsidR="00180E4C" w:rsidRPr="0073318B" w:rsidRDefault="00180E4C" w:rsidP="00C01A0E">
            <w:pPr>
              <w:pStyle w:val="StyleBodyText12ptJustified"/>
              <w:spacing w:after="100"/>
              <w:jc w:val="left"/>
              <w:rPr>
                <w:sz w:val="20"/>
              </w:rPr>
            </w:pPr>
            <w:r>
              <w:rPr>
                <w:sz w:val="20"/>
              </w:rPr>
              <w:t>9</w:t>
            </w:r>
            <w:r w:rsidRPr="0073318B">
              <w:rPr>
                <w:sz w:val="20"/>
              </w:rPr>
              <w:t>-year wet period from 1937 through 1945</w:t>
            </w:r>
          </w:p>
        </w:tc>
      </w:tr>
      <w:tr w:rsidR="00180E4C" w14:paraId="0AE16C58" w14:textId="77777777" w:rsidTr="00180E4C">
        <w:trPr>
          <w:cantSplit/>
          <w:trHeight w:hRule="exact" w:val="288"/>
          <w:jc w:val="center"/>
        </w:trPr>
        <w:tc>
          <w:tcPr>
            <w:tcW w:w="0" w:type="auto"/>
            <w:tcBorders>
              <w:top w:val="nil"/>
              <w:left w:val="single" w:sz="4" w:space="0" w:color="000090"/>
              <w:bottom w:val="nil"/>
              <w:right w:val="single" w:sz="4" w:space="0" w:color="000090"/>
            </w:tcBorders>
          </w:tcPr>
          <w:p w14:paraId="0F8C80D2" w14:textId="2289EA57" w:rsidR="00180E4C" w:rsidRPr="0073318B" w:rsidRDefault="00180E4C" w:rsidP="00F55818">
            <w:pPr>
              <w:pStyle w:val="StyleBodyText12ptJustified"/>
              <w:spacing w:after="100"/>
              <w:rPr>
                <w:sz w:val="20"/>
              </w:rPr>
            </w:pPr>
            <w:r w:rsidRPr="0073318B">
              <w:rPr>
                <w:sz w:val="20"/>
              </w:rPr>
              <w:t>3</w:t>
            </w:r>
            <w:r>
              <w:rPr>
                <w:sz w:val="20"/>
              </w:rPr>
              <w:t>2</w:t>
            </w:r>
            <w:r w:rsidRPr="0073318B">
              <w:rPr>
                <w:sz w:val="20"/>
              </w:rPr>
              <w:t>-year dry period from 1946 through 1977</w:t>
            </w:r>
          </w:p>
        </w:tc>
        <w:tc>
          <w:tcPr>
            <w:tcW w:w="0" w:type="auto"/>
            <w:tcBorders>
              <w:top w:val="nil"/>
              <w:left w:val="single" w:sz="4" w:space="0" w:color="000090"/>
              <w:bottom w:val="nil"/>
              <w:right w:val="single" w:sz="4" w:space="0" w:color="000090"/>
            </w:tcBorders>
          </w:tcPr>
          <w:p w14:paraId="2F39196B" w14:textId="7F9D1B46" w:rsidR="00180E4C" w:rsidRPr="0073318B" w:rsidRDefault="00180E4C" w:rsidP="00F55818">
            <w:pPr>
              <w:pStyle w:val="StyleBodyText12ptJustified"/>
              <w:spacing w:after="100"/>
              <w:rPr>
                <w:sz w:val="20"/>
              </w:rPr>
            </w:pPr>
          </w:p>
        </w:tc>
      </w:tr>
      <w:tr w:rsidR="00180E4C" w14:paraId="65B0A9B4" w14:textId="77777777" w:rsidTr="00180E4C">
        <w:trPr>
          <w:cantSplit/>
          <w:trHeight w:hRule="exact" w:val="288"/>
          <w:jc w:val="center"/>
        </w:trPr>
        <w:tc>
          <w:tcPr>
            <w:tcW w:w="0" w:type="auto"/>
            <w:tcBorders>
              <w:top w:val="nil"/>
              <w:left w:val="single" w:sz="4" w:space="0" w:color="000090"/>
              <w:bottom w:val="nil"/>
              <w:right w:val="single" w:sz="4" w:space="0" w:color="000090"/>
            </w:tcBorders>
          </w:tcPr>
          <w:p w14:paraId="2623F0CA" w14:textId="3D5264B2" w:rsidR="00180E4C" w:rsidRPr="0073318B" w:rsidRDefault="00180E4C" w:rsidP="00F55818">
            <w:pPr>
              <w:pStyle w:val="StyleBodyText12ptJustified"/>
              <w:spacing w:after="100"/>
              <w:rPr>
                <w:sz w:val="20"/>
              </w:rPr>
            </w:pPr>
          </w:p>
        </w:tc>
        <w:tc>
          <w:tcPr>
            <w:tcW w:w="0" w:type="auto"/>
            <w:tcBorders>
              <w:top w:val="nil"/>
              <w:left w:val="single" w:sz="4" w:space="0" w:color="000090"/>
              <w:bottom w:val="nil"/>
              <w:right w:val="single" w:sz="4" w:space="0" w:color="000090"/>
            </w:tcBorders>
          </w:tcPr>
          <w:p w14:paraId="4BD92D6E" w14:textId="50AD356D" w:rsidR="00180E4C" w:rsidRPr="0073318B" w:rsidRDefault="00180E4C" w:rsidP="00F55818">
            <w:pPr>
              <w:pStyle w:val="StyleBodyText12ptJustified"/>
              <w:spacing w:after="100"/>
              <w:rPr>
                <w:sz w:val="20"/>
              </w:rPr>
            </w:pPr>
            <w:r>
              <w:rPr>
                <w:sz w:val="20"/>
              </w:rPr>
              <w:t>6</w:t>
            </w:r>
            <w:r w:rsidRPr="0073318B">
              <w:rPr>
                <w:sz w:val="20"/>
              </w:rPr>
              <w:t>-year wet period from 1978 through 1983</w:t>
            </w:r>
          </w:p>
        </w:tc>
      </w:tr>
      <w:tr w:rsidR="00180E4C" w14:paraId="04EB4DF7" w14:textId="77777777" w:rsidTr="00180E4C">
        <w:trPr>
          <w:cantSplit/>
          <w:trHeight w:hRule="exact" w:val="288"/>
          <w:jc w:val="center"/>
        </w:trPr>
        <w:tc>
          <w:tcPr>
            <w:tcW w:w="0" w:type="auto"/>
            <w:tcBorders>
              <w:top w:val="nil"/>
              <w:left w:val="single" w:sz="4" w:space="0" w:color="000090"/>
              <w:bottom w:val="nil"/>
              <w:right w:val="single" w:sz="4" w:space="0" w:color="000090"/>
            </w:tcBorders>
          </w:tcPr>
          <w:p w14:paraId="1044BADB" w14:textId="08D89979" w:rsidR="00180E4C" w:rsidRPr="0073318B" w:rsidRDefault="00180E4C" w:rsidP="00F55818">
            <w:pPr>
              <w:pStyle w:val="StyleBodyText12ptJustified"/>
              <w:spacing w:after="100"/>
              <w:rPr>
                <w:sz w:val="20"/>
              </w:rPr>
            </w:pPr>
            <w:r>
              <w:rPr>
                <w:sz w:val="20"/>
              </w:rPr>
              <w:t>7</w:t>
            </w:r>
            <w:r w:rsidRPr="0073318B">
              <w:rPr>
                <w:sz w:val="20"/>
              </w:rPr>
              <w:t>-year dry period from 1984 through 1990</w:t>
            </w:r>
          </w:p>
        </w:tc>
        <w:tc>
          <w:tcPr>
            <w:tcW w:w="0" w:type="auto"/>
            <w:tcBorders>
              <w:top w:val="nil"/>
              <w:left w:val="single" w:sz="4" w:space="0" w:color="000090"/>
              <w:bottom w:val="nil"/>
              <w:right w:val="single" w:sz="4" w:space="0" w:color="000090"/>
            </w:tcBorders>
          </w:tcPr>
          <w:p w14:paraId="37C11264" w14:textId="033B18C4" w:rsidR="00180E4C" w:rsidRPr="0073318B" w:rsidRDefault="00180E4C" w:rsidP="00F55818">
            <w:pPr>
              <w:pStyle w:val="StyleBodyText12ptJustified"/>
              <w:spacing w:after="100"/>
              <w:rPr>
                <w:sz w:val="20"/>
              </w:rPr>
            </w:pPr>
          </w:p>
        </w:tc>
      </w:tr>
      <w:tr w:rsidR="00180E4C" w14:paraId="6FB175CD" w14:textId="77777777" w:rsidTr="00180E4C">
        <w:trPr>
          <w:cantSplit/>
          <w:trHeight w:hRule="exact" w:val="288"/>
          <w:jc w:val="center"/>
        </w:trPr>
        <w:tc>
          <w:tcPr>
            <w:tcW w:w="0" w:type="auto"/>
            <w:tcBorders>
              <w:top w:val="nil"/>
              <w:left w:val="single" w:sz="4" w:space="0" w:color="000090"/>
              <w:bottom w:val="nil"/>
              <w:right w:val="single" w:sz="4" w:space="0" w:color="000090"/>
            </w:tcBorders>
          </w:tcPr>
          <w:p w14:paraId="4E982714" w14:textId="7884761E" w:rsidR="00180E4C" w:rsidRPr="00180E4C" w:rsidRDefault="00180E4C" w:rsidP="00F55818">
            <w:pPr>
              <w:pStyle w:val="StyleBodyText12ptJustified"/>
              <w:spacing w:after="100"/>
              <w:rPr>
                <w:color w:val="auto"/>
                <w:sz w:val="20"/>
              </w:rPr>
            </w:pPr>
          </w:p>
        </w:tc>
        <w:tc>
          <w:tcPr>
            <w:tcW w:w="0" w:type="auto"/>
            <w:tcBorders>
              <w:top w:val="nil"/>
              <w:left w:val="single" w:sz="4" w:space="0" w:color="000090"/>
              <w:bottom w:val="nil"/>
              <w:right w:val="single" w:sz="4" w:space="0" w:color="000090"/>
            </w:tcBorders>
          </w:tcPr>
          <w:p w14:paraId="3E201424" w14:textId="27E3C3BD" w:rsidR="00180E4C" w:rsidRPr="0073318B" w:rsidRDefault="00180E4C" w:rsidP="00F55818">
            <w:pPr>
              <w:pStyle w:val="StyleBodyText12ptJustified"/>
              <w:spacing w:after="100"/>
              <w:rPr>
                <w:sz w:val="20"/>
              </w:rPr>
            </w:pPr>
            <w:r>
              <w:rPr>
                <w:sz w:val="20"/>
              </w:rPr>
              <w:t>8</w:t>
            </w:r>
            <w:r w:rsidRPr="0073318B">
              <w:rPr>
                <w:sz w:val="20"/>
              </w:rPr>
              <w:t>-year wet period from 1991 through 1998</w:t>
            </w:r>
          </w:p>
        </w:tc>
      </w:tr>
      <w:tr w:rsidR="00180E4C" w14:paraId="52DEC72C" w14:textId="77777777" w:rsidTr="00180E4C">
        <w:trPr>
          <w:jc w:val="center"/>
        </w:trPr>
        <w:tc>
          <w:tcPr>
            <w:tcW w:w="0" w:type="auto"/>
            <w:tcBorders>
              <w:top w:val="nil"/>
              <w:left w:val="single" w:sz="4" w:space="0" w:color="000090"/>
              <w:bottom w:val="single" w:sz="4" w:space="0" w:color="000090"/>
              <w:right w:val="single" w:sz="4" w:space="0" w:color="000090"/>
            </w:tcBorders>
          </w:tcPr>
          <w:p w14:paraId="13E7E767" w14:textId="7CED9298" w:rsidR="00180E4C" w:rsidRPr="00180E4C" w:rsidRDefault="00180E4C" w:rsidP="00135E6A">
            <w:pPr>
              <w:pStyle w:val="StyleBodyText12ptJustified"/>
              <w:spacing w:after="100"/>
              <w:rPr>
                <w:color w:val="auto"/>
                <w:sz w:val="20"/>
              </w:rPr>
            </w:pPr>
            <w:r w:rsidRPr="00180E4C">
              <w:rPr>
                <w:color w:val="auto"/>
                <w:sz w:val="20"/>
              </w:rPr>
              <w:t>1</w:t>
            </w:r>
            <w:r w:rsidR="00135E6A">
              <w:rPr>
                <w:color w:val="auto"/>
                <w:sz w:val="20"/>
              </w:rPr>
              <w:t>6</w:t>
            </w:r>
            <w:r w:rsidRPr="00180E4C">
              <w:rPr>
                <w:color w:val="auto"/>
                <w:sz w:val="20"/>
              </w:rPr>
              <w:t>-year dry period from 1999 through 201</w:t>
            </w:r>
            <w:r w:rsidR="00135E6A">
              <w:rPr>
                <w:color w:val="auto"/>
                <w:sz w:val="20"/>
              </w:rPr>
              <w:t>5</w:t>
            </w:r>
            <w:r w:rsidRPr="00180E4C">
              <w:rPr>
                <w:rStyle w:val="FootnoteReference"/>
                <w:color w:val="auto"/>
                <w:sz w:val="20"/>
              </w:rPr>
              <w:footnoteReference w:id="4"/>
            </w:r>
          </w:p>
        </w:tc>
        <w:tc>
          <w:tcPr>
            <w:tcW w:w="0" w:type="auto"/>
            <w:tcBorders>
              <w:top w:val="nil"/>
              <w:left w:val="single" w:sz="4" w:space="0" w:color="000090"/>
              <w:bottom w:val="single" w:sz="4" w:space="0" w:color="000090"/>
              <w:right w:val="single" w:sz="4" w:space="0" w:color="000090"/>
            </w:tcBorders>
          </w:tcPr>
          <w:p w14:paraId="42A519E2" w14:textId="6A46597B" w:rsidR="00180E4C" w:rsidRPr="0073318B" w:rsidRDefault="00180E4C" w:rsidP="00F55818">
            <w:pPr>
              <w:pStyle w:val="StyleBodyText12ptJustified"/>
              <w:spacing w:after="100"/>
              <w:rPr>
                <w:sz w:val="20"/>
              </w:rPr>
            </w:pPr>
          </w:p>
        </w:tc>
      </w:tr>
    </w:tbl>
    <w:p w14:paraId="6CD45578" w14:textId="5D2A172C" w:rsidR="00951E5A" w:rsidRDefault="00AE4C9A" w:rsidP="0073318B">
      <w:pPr>
        <w:pStyle w:val="StyleBodyText12ptJustified"/>
        <w:spacing w:before="200"/>
      </w:pPr>
      <w:r>
        <w:rPr>
          <w:szCs w:val="22"/>
        </w:rPr>
        <w:t xml:space="preserve">The precipitation record for the Upper Temescal Valley demonstrates that the climate of the region is subject to prolonged dry periods and short wet periods. </w:t>
      </w:r>
      <w:r w:rsidR="00951E5A">
        <w:t>The average duration of a dry period is thirteen years, and the average duration of a wet period is nine years.</w:t>
      </w:r>
      <w:r w:rsidR="00951E5A">
        <w:rPr>
          <w:szCs w:val="22"/>
        </w:rPr>
        <w:t xml:space="preserve"> </w:t>
      </w:r>
      <w:r>
        <w:rPr>
          <w:szCs w:val="22"/>
        </w:rPr>
        <w:t xml:space="preserve">The ratio of dry years to wet years is about three to two. That is, for every ten years, about 6 years experienced below-average precipitation, and four years experienced above-average precipitation. </w:t>
      </w:r>
      <w:r>
        <w:t>Some of the dry periods listed above contain one or more wet years, and some of the wet periods contain some dry years</w:t>
      </w:r>
      <w:r w:rsidR="005B4B50">
        <w:t>.</w:t>
      </w:r>
    </w:p>
    <w:p w14:paraId="4928F35F" w14:textId="32C7ECF8" w:rsidR="004E2422" w:rsidRDefault="004E2422" w:rsidP="0073318B">
      <w:pPr>
        <w:pStyle w:val="StyleBodyText12ptJustified"/>
        <w:spacing w:before="200"/>
      </w:pPr>
      <w:r>
        <w:t xml:space="preserve">The intent of the characterization listed above is to demonstrate that it is </w:t>
      </w:r>
      <w:r w:rsidR="00341A19">
        <w:t xml:space="preserve">not </w:t>
      </w:r>
      <w:r>
        <w:t>uncommon for dry periods to be punctuated with some wet years and vice versa</w:t>
      </w:r>
      <w:r w:rsidR="00AE4C9A">
        <w:t>,</w:t>
      </w:r>
      <w:r w:rsidR="006D6CB2">
        <w:t xml:space="preserve"> and that dry periods are significantly longer than wet periods</w:t>
      </w:r>
      <w:r>
        <w:t xml:space="preserve">. The two most important dry periods listed above include the </w:t>
      </w:r>
      <w:r w:rsidR="005B4B50">
        <w:t xml:space="preserve">32-year period </w:t>
      </w:r>
      <w:r>
        <w:t>of 1946 through 1977 (longest recorded dry period in the station record) and the current ongoing dry period from 1999 through 2015</w:t>
      </w:r>
      <w:r w:rsidR="00341A19">
        <w:t>—</w:t>
      </w:r>
      <w:r w:rsidR="00680B4C">
        <w:t xml:space="preserve">the current ongoing </w:t>
      </w:r>
      <w:r w:rsidR="00986D60">
        <w:t xml:space="preserve">16-year </w:t>
      </w:r>
      <w:r w:rsidR="00680B4C">
        <w:t xml:space="preserve">dry </w:t>
      </w:r>
      <w:r>
        <w:t xml:space="preserve">period contains </w:t>
      </w:r>
      <w:r w:rsidR="00986D60">
        <w:t xml:space="preserve">seven </w:t>
      </w:r>
      <w:r>
        <w:t xml:space="preserve">of the driest </w:t>
      </w:r>
      <w:r w:rsidR="00747671">
        <w:t>year</w:t>
      </w:r>
      <w:r>
        <w:t xml:space="preserve">s in the </w:t>
      </w:r>
      <w:r w:rsidR="00680B4C">
        <w:t xml:space="preserve">118-year </w:t>
      </w:r>
      <w:r>
        <w:t xml:space="preserve">station </w:t>
      </w:r>
      <w:r w:rsidR="003D243B">
        <w:t xml:space="preserve">record. </w:t>
      </w:r>
    </w:p>
    <w:p w14:paraId="5927E4A2" w14:textId="0EA4AAC7" w:rsidR="0079009A" w:rsidRPr="006D5968" w:rsidRDefault="00747671" w:rsidP="0073318B">
      <w:pPr>
        <w:pStyle w:val="StyleBodyText12ptJustified"/>
        <w:spacing w:before="200"/>
        <w:rPr>
          <w:szCs w:val="22"/>
        </w:rPr>
      </w:pPr>
      <w:r>
        <w:rPr>
          <w:szCs w:val="22"/>
        </w:rPr>
        <w:t>As described</w:t>
      </w:r>
      <w:r w:rsidR="00A378E2">
        <w:rPr>
          <w:szCs w:val="22"/>
        </w:rPr>
        <w:t xml:space="preserve"> in greater detail</w:t>
      </w:r>
      <w:r>
        <w:rPr>
          <w:szCs w:val="22"/>
        </w:rPr>
        <w:t xml:space="preserve"> below, storage in </w:t>
      </w:r>
      <w:r w:rsidR="008E2D66">
        <w:rPr>
          <w:szCs w:val="22"/>
        </w:rPr>
        <w:t xml:space="preserve">the </w:t>
      </w:r>
      <w:r>
        <w:rPr>
          <w:szCs w:val="22"/>
        </w:rPr>
        <w:t xml:space="preserve">Bedford </w:t>
      </w:r>
      <w:r w:rsidR="008E2D66">
        <w:rPr>
          <w:szCs w:val="22"/>
        </w:rPr>
        <w:t>B</w:t>
      </w:r>
      <w:r>
        <w:rPr>
          <w:szCs w:val="22"/>
        </w:rPr>
        <w:t xml:space="preserve">asin is relatively small compared to </w:t>
      </w:r>
      <w:r w:rsidR="00A378E2">
        <w:rPr>
          <w:szCs w:val="22"/>
        </w:rPr>
        <w:t xml:space="preserve">its </w:t>
      </w:r>
      <w:r>
        <w:rPr>
          <w:szCs w:val="22"/>
        </w:rPr>
        <w:t>potential for recharge</w:t>
      </w:r>
      <w:r w:rsidR="00AD1A61">
        <w:rPr>
          <w:szCs w:val="22"/>
        </w:rPr>
        <w:t>.</w:t>
      </w:r>
      <w:r w:rsidR="00B502DC">
        <w:rPr>
          <w:szCs w:val="22"/>
        </w:rPr>
        <w:t xml:space="preserve"> </w:t>
      </w:r>
      <w:r w:rsidR="00AD1A61">
        <w:rPr>
          <w:szCs w:val="22"/>
        </w:rPr>
        <w:t xml:space="preserve">The occurrence of multi-year wet and dry periods coupled with a relatively small storage means </w:t>
      </w:r>
      <w:r w:rsidR="00A378E2">
        <w:rPr>
          <w:szCs w:val="22"/>
        </w:rPr>
        <w:t xml:space="preserve">that </w:t>
      </w:r>
      <w:r w:rsidR="00AD1A61">
        <w:rPr>
          <w:szCs w:val="22"/>
        </w:rPr>
        <w:t xml:space="preserve">the basin yield will fluctuate from wet to dry periods and that there may be management strategies that can be employed to increase </w:t>
      </w:r>
      <w:r w:rsidR="00951E5A">
        <w:rPr>
          <w:szCs w:val="22"/>
        </w:rPr>
        <w:t xml:space="preserve">the </w:t>
      </w:r>
      <w:r w:rsidR="00AD1A61">
        <w:rPr>
          <w:szCs w:val="22"/>
        </w:rPr>
        <w:t>yield.</w:t>
      </w:r>
    </w:p>
    <w:p w14:paraId="6A7B0446" w14:textId="77777777" w:rsidR="00E81082" w:rsidRDefault="000C3B27" w:rsidP="000C3B27">
      <w:pPr>
        <w:pStyle w:val="Heading2"/>
      </w:pPr>
      <w:bookmarkStart w:id="13" w:name="_Toc427921409"/>
      <w:r>
        <w:t xml:space="preserve">Surface-Water </w:t>
      </w:r>
      <w:r w:rsidR="00AE3E29">
        <w:t>Hydrology</w:t>
      </w:r>
      <w:bookmarkEnd w:id="13"/>
    </w:p>
    <w:p w14:paraId="0C5FE114" w14:textId="4F798F3D" w:rsidR="00981E22" w:rsidRDefault="003F064A" w:rsidP="000C3B27">
      <w:pPr>
        <w:pStyle w:val="StyleBodyText12ptJustified"/>
        <w:rPr>
          <w:rFonts w:cs="Arial"/>
          <w:szCs w:val="22"/>
        </w:rPr>
      </w:pPr>
      <w:r w:rsidRPr="004D0D25">
        <w:rPr>
          <w:rFonts w:cs="Arial"/>
          <w:szCs w:val="22"/>
        </w:rPr>
        <w:t>Figure 1-1 shows</w:t>
      </w:r>
      <w:r>
        <w:rPr>
          <w:rFonts w:cs="Arial"/>
          <w:szCs w:val="22"/>
        </w:rPr>
        <w:t xml:space="preserve"> the two major sub-watersheds that are tributary to the Bedford Basin</w:t>
      </w:r>
      <w:r w:rsidR="00033B2D">
        <w:rPr>
          <w:rFonts w:cs="Arial"/>
          <w:szCs w:val="22"/>
        </w:rPr>
        <w:t>:</w:t>
      </w:r>
      <w:r>
        <w:rPr>
          <w:rFonts w:cs="Arial"/>
          <w:szCs w:val="22"/>
        </w:rPr>
        <w:t xml:space="preserve"> the Temescal Wash and Bedford Wash watersheds. </w:t>
      </w:r>
      <w:r w:rsidR="00692231">
        <w:rPr>
          <w:rFonts w:cs="Arial"/>
          <w:szCs w:val="22"/>
        </w:rPr>
        <w:t>Within t</w:t>
      </w:r>
      <w:r w:rsidR="00FC368C">
        <w:rPr>
          <w:rFonts w:cs="Arial"/>
          <w:szCs w:val="22"/>
        </w:rPr>
        <w:t xml:space="preserve">he </w:t>
      </w:r>
      <w:r w:rsidR="00692231">
        <w:rPr>
          <w:rFonts w:cs="Arial"/>
          <w:szCs w:val="22"/>
        </w:rPr>
        <w:t xml:space="preserve">Upper </w:t>
      </w:r>
      <w:r w:rsidR="00C84431">
        <w:rPr>
          <w:rFonts w:cs="Arial"/>
          <w:szCs w:val="22"/>
        </w:rPr>
        <w:t xml:space="preserve">Temescal </w:t>
      </w:r>
      <w:r w:rsidR="00692231">
        <w:rPr>
          <w:rFonts w:cs="Arial"/>
          <w:szCs w:val="22"/>
        </w:rPr>
        <w:t xml:space="preserve">Valley Watershed, the Temescal Wash </w:t>
      </w:r>
      <w:r w:rsidR="00C84431">
        <w:rPr>
          <w:rFonts w:cs="Arial"/>
          <w:szCs w:val="22"/>
        </w:rPr>
        <w:t xml:space="preserve">originates </w:t>
      </w:r>
      <w:r w:rsidR="0098407A" w:rsidRPr="0098407A">
        <w:rPr>
          <w:rFonts w:cs="Arial"/>
          <w:szCs w:val="22"/>
        </w:rPr>
        <w:t xml:space="preserve">just downstream of Lake Elsinore </w:t>
      </w:r>
      <w:r w:rsidR="00C84431">
        <w:rPr>
          <w:rFonts w:cs="Arial"/>
          <w:szCs w:val="22"/>
        </w:rPr>
        <w:t xml:space="preserve">and flows northwest, parallel to the Santa Ana Mountains, </w:t>
      </w:r>
      <w:r w:rsidR="000B3919">
        <w:rPr>
          <w:rFonts w:cs="Arial"/>
          <w:szCs w:val="22"/>
        </w:rPr>
        <w:t xml:space="preserve">into Lee Lake. </w:t>
      </w:r>
      <w:r w:rsidR="00033B2D">
        <w:rPr>
          <w:rFonts w:cs="Arial"/>
          <w:szCs w:val="22"/>
        </w:rPr>
        <w:t>Water released from Lee Lake</w:t>
      </w:r>
      <w:r w:rsidR="00ED1EF8">
        <w:rPr>
          <w:rFonts w:cs="Arial"/>
          <w:szCs w:val="22"/>
        </w:rPr>
        <w:t xml:space="preserve"> continues </w:t>
      </w:r>
      <w:r w:rsidR="00033B2D">
        <w:rPr>
          <w:rFonts w:cs="Arial"/>
          <w:szCs w:val="22"/>
        </w:rPr>
        <w:t xml:space="preserve">to flow </w:t>
      </w:r>
      <w:r w:rsidR="009255D1">
        <w:rPr>
          <w:rFonts w:cs="Arial"/>
          <w:szCs w:val="22"/>
        </w:rPr>
        <w:t>in</w:t>
      </w:r>
      <w:r w:rsidR="00FC368C">
        <w:rPr>
          <w:rFonts w:cs="Arial"/>
          <w:szCs w:val="22"/>
        </w:rPr>
        <w:t xml:space="preserve"> the</w:t>
      </w:r>
      <w:r w:rsidR="009255D1">
        <w:rPr>
          <w:rFonts w:cs="Arial"/>
          <w:szCs w:val="22"/>
        </w:rPr>
        <w:t xml:space="preserve"> Temescal Wash </w:t>
      </w:r>
      <w:r w:rsidR="00033B2D">
        <w:rPr>
          <w:rFonts w:cs="Arial"/>
          <w:szCs w:val="22"/>
        </w:rPr>
        <w:t xml:space="preserve">over the </w:t>
      </w:r>
      <w:r w:rsidR="004A55CD">
        <w:rPr>
          <w:rFonts w:cs="Arial"/>
          <w:szCs w:val="22"/>
        </w:rPr>
        <w:t xml:space="preserve">Bedford Basin </w:t>
      </w:r>
      <w:r w:rsidR="00FC35FF">
        <w:rPr>
          <w:rFonts w:cs="Arial"/>
          <w:szCs w:val="22"/>
        </w:rPr>
        <w:t xml:space="preserve">towards </w:t>
      </w:r>
      <w:r w:rsidR="00ED1EF8">
        <w:rPr>
          <w:rFonts w:cs="Arial"/>
          <w:szCs w:val="22"/>
        </w:rPr>
        <w:t xml:space="preserve">the </w:t>
      </w:r>
      <w:r w:rsidR="00FC35FF">
        <w:rPr>
          <w:rFonts w:cs="Arial"/>
          <w:szCs w:val="22"/>
        </w:rPr>
        <w:t xml:space="preserve">All-American Aggregate Pit. </w:t>
      </w:r>
      <w:r w:rsidR="00FC368C">
        <w:rPr>
          <w:rFonts w:cs="Arial"/>
          <w:szCs w:val="22"/>
        </w:rPr>
        <w:t xml:space="preserve">The </w:t>
      </w:r>
      <w:r w:rsidR="0098407A" w:rsidRPr="0098407A">
        <w:rPr>
          <w:rFonts w:cs="Arial"/>
          <w:szCs w:val="22"/>
        </w:rPr>
        <w:t>Temescal Wash is a</w:t>
      </w:r>
      <w:r w:rsidR="009255D1">
        <w:rPr>
          <w:rFonts w:cs="Arial"/>
          <w:szCs w:val="22"/>
        </w:rPr>
        <w:t>n unlined,</w:t>
      </w:r>
      <w:r w:rsidR="0098407A" w:rsidRPr="0098407A">
        <w:rPr>
          <w:rFonts w:cs="Arial"/>
          <w:szCs w:val="22"/>
        </w:rPr>
        <w:t xml:space="preserve"> natural </w:t>
      </w:r>
      <w:r w:rsidR="00ED5B6C">
        <w:rPr>
          <w:rFonts w:cs="Arial"/>
          <w:szCs w:val="22"/>
        </w:rPr>
        <w:t xml:space="preserve">stream </w:t>
      </w:r>
      <w:r w:rsidR="0098407A" w:rsidRPr="0098407A">
        <w:rPr>
          <w:rFonts w:cs="Arial"/>
          <w:szCs w:val="22"/>
        </w:rPr>
        <w:t xml:space="preserve">channel </w:t>
      </w:r>
      <w:r w:rsidR="0098407A">
        <w:rPr>
          <w:rFonts w:cs="Arial"/>
          <w:szCs w:val="22"/>
        </w:rPr>
        <w:t>from the Lake Elsinore Spillway Channel</w:t>
      </w:r>
      <w:r w:rsidR="0098407A" w:rsidRPr="0098407A">
        <w:rPr>
          <w:rFonts w:cs="Arial"/>
          <w:szCs w:val="22"/>
        </w:rPr>
        <w:t xml:space="preserve"> to </w:t>
      </w:r>
      <w:r w:rsidR="002E0ED6">
        <w:rPr>
          <w:rFonts w:cs="Arial"/>
          <w:szCs w:val="22"/>
        </w:rPr>
        <w:t>its</w:t>
      </w:r>
      <w:r w:rsidR="002E0ED6" w:rsidRPr="0098407A">
        <w:rPr>
          <w:rFonts w:cs="Arial"/>
          <w:szCs w:val="22"/>
        </w:rPr>
        <w:t xml:space="preserve"> </w:t>
      </w:r>
      <w:r w:rsidR="0098407A" w:rsidRPr="0098407A">
        <w:rPr>
          <w:rFonts w:cs="Arial"/>
          <w:szCs w:val="22"/>
        </w:rPr>
        <w:t xml:space="preserve">point </w:t>
      </w:r>
      <w:r w:rsidR="002E0ED6">
        <w:rPr>
          <w:rFonts w:cs="Arial"/>
          <w:szCs w:val="22"/>
        </w:rPr>
        <w:t>of</w:t>
      </w:r>
      <w:r w:rsidR="0098407A" w:rsidRPr="0098407A">
        <w:rPr>
          <w:rFonts w:cs="Arial"/>
          <w:szCs w:val="22"/>
        </w:rPr>
        <w:t xml:space="preserve"> discharge into the All-American Aggregate Pit</w:t>
      </w:r>
      <w:r w:rsidR="0098407A" w:rsidRPr="009E5932">
        <w:rPr>
          <w:rFonts w:cs="Arial"/>
          <w:szCs w:val="22"/>
        </w:rPr>
        <w:t xml:space="preserve">. </w:t>
      </w:r>
      <w:r w:rsidR="002E0ED6">
        <w:rPr>
          <w:rFonts w:cs="Arial"/>
          <w:szCs w:val="22"/>
        </w:rPr>
        <w:t xml:space="preserve">The </w:t>
      </w:r>
      <w:r w:rsidR="00AD1A61" w:rsidRPr="009E5932">
        <w:rPr>
          <w:rFonts w:cs="Arial"/>
          <w:szCs w:val="22"/>
        </w:rPr>
        <w:t xml:space="preserve">Temescal Wash enters the Bedford Basin </w:t>
      </w:r>
      <w:r w:rsidR="009E5932">
        <w:rPr>
          <w:rFonts w:cs="Arial"/>
          <w:szCs w:val="22"/>
        </w:rPr>
        <w:t>about 4,300</w:t>
      </w:r>
      <w:r w:rsidR="009E5932" w:rsidRPr="009E5932">
        <w:rPr>
          <w:rFonts w:cs="Arial"/>
          <w:szCs w:val="22"/>
        </w:rPr>
        <w:t xml:space="preserve"> feet downstream of Lee Lake</w:t>
      </w:r>
      <w:r w:rsidR="00AD1A61" w:rsidRPr="009E5932">
        <w:rPr>
          <w:rFonts w:cs="Arial"/>
          <w:szCs w:val="22"/>
        </w:rPr>
        <w:t xml:space="preserve"> and discharges out of the basin </w:t>
      </w:r>
      <w:r w:rsidR="009E5932">
        <w:rPr>
          <w:rFonts w:cs="Arial"/>
          <w:szCs w:val="22"/>
        </w:rPr>
        <w:t>2,900</w:t>
      </w:r>
      <w:r w:rsidR="009E5932" w:rsidRPr="009E5932">
        <w:rPr>
          <w:rFonts w:cs="Arial"/>
          <w:szCs w:val="22"/>
        </w:rPr>
        <w:t xml:space="preserve"> feet upstream of Flagler 2A</w:t>
      </w:r>
      <w:r w:rsidR="00AD1A61" w:rsidRPr="009E5932">
        <w:rPr>
          <w:rFonts w:cs="Arial"/>
          <w:szCs w:val="22"/>
        </w:rPr>
        <w:t>.</w:t>
      </w:r>
    </w:p>
    <w:p w14:paraId="554A621A" w14:textId="17247C8D" w:rsidR="0098407A" w:rsidRDefault="0098407A" w:rsidP="000C3B27">
      <w:pPr>
        <w:pStyle w:val="StyleBodyText12ptJustified"/>
        <w:rPr>
          <w:rFonts w:cs="Arial"/>
          <w:szCs w:val="22"/>
        </w:rPr>
      </w:pPr>
      <w:r>
        <w:rPr>
          <w:rFonts w:cs="Arial"/>
          <w:szCs w:val="22"/>
        </w:rPr>
        <w:t>Tributar</w:t>
      </w:r>
      <w:r w:rsidR="00ED5B6C">
        <w:rPr>
          <w:rFonts w:cs="Arial"/>
          <w:szCs w:val="22"/>
        </w:rPr>
        <w:t>ies</w:t>
      </w:r>
      <w:r>
        <w:rPr>
          <w:rFonts w:cs="Arial"/>
          <w:szCs w:val="22"/>
        </w:rPr>
        <w:t xml:space="preserve"> to the Temescal Wash consist primarily of small</w:t>
      </w:r>
      <w:r w:rsidR="009255D1">
        <w:rPr>
          <w:rFonts w:cs="Arial"/>
          <w:szCs w:val="22"/>
        </w:rPr>
        <w:t>er,</w:t>
      </w:r>
      <w:r>
        <w:rPr>
          <w:rFonts w:cs="Arial"/>
          <w:szCs w:val="22"/>
        </w:rPr>
        <w:t xml:space="preserve"> unlined stream channels that drain the adjacent mountain slopes and valleys</w:t>
      </w:r>
      <w:r w:rsidR="00ED5B6C">
        <w:rPr>
          <w:rFonts w:cs="Arial"/>
          <w:szCs w:val="22"/>
        </w:rPr>
        <w:t>—the largest being the Bedford Wash</w:t>
      </w:r>
      <w:r>
        <w:rPr>
          <w:rFonts w:cs="Arial"/>
          <w:szCs w:val="22"/>
        </w:rPr>
        <w:t>. Surface</w:t>
      </w:r>
      <w:r w:rsidR="00033B2D">
        <w:rPr>
          <w:rFonts w:cs="Arial"/>
          <w:szCs w:val="22"/>
        </w:rPr>
        <w:t>-</w:t>
      </w:r>
      <w:r>
        <w:rPr>
          <w:rFonts w:cs="Arial"/>
          <w:szCs w:val="22"/>
        </w:rPr>
        <w:t xml:space="preserve">water discharge in </w:t>
      </w:r>
      <w:r w:rsidR="00BE5E59">
        <w:rPr>
          <w:rFonts w:cs="Arial"/>
          <w:szCs w:val="22"/>
        </w:rPr>
        <w:t xml:space="preserve">the </w:t>
      </w:r>
      <w:r>
        <w:rPr>
          <w:rFonts w:cs="Arial"/>
          <w:szCs w:val="22"/>
        </w:rPr>
        <w:t xml:space="preserve">Temescal Wash </w:t>
      </w:r>
      <w:r w:rsidR="003D234C">
        <w:rPr>
          <w:rFonts w:cs="Arial"/>
          <w:szCs w:val="22"/>
        </w:rPr>
        <w:t xml:space="preserve">and </w:t>
      </w:r>
      <w:r w:rsidR="009255D1">
        <w:rPr>
          <w:rFonts w:cs="Arial"/>
          <w:szCs w:val="22"/>
        </w:rPr>
        <w:t>its tributaries</w:t>
      </w:r>
      <w:r w:rsidR="003D234C">
        <w:rPr>
          <w:rFonts w:cs="Arial"/>
          <w:szCs w:val="22"/>
        </w:rPr>
        <w:t xml:space="preserve"> </w:t>
      </w:r>
      <w:r>
        <w:rPr>
          <w:rFonts w:cs="Arial"/>
          <w:szCs w:val="22"/>
        </w:rPr>
        <w:t>originates from various sources</w:t>
      </w:r>
      <w:r w:rsidR="001F28D5">
        <w:rPr>
          <w:rFonts w:cs="Arial"/>
          <w:szCs w:val="22"/>
        </w:rPr>
        <w:t>, including</w:t>
      </w:r>
      <w:r>
        <w:rPr>
          <w:rFonts w:cs="Arial"/>
          <w:szCs w:val="22"/>
        </w:rPr>
        <w:t xml:space="preserve"> discharge</w:t>
      </w:r>
      <w:r w:rsidR="00ED5B6C">
        <w:rPr>
          <w:rFonts w:cs="Arial"/>
          <w:szCs w:val="22"/>
        </w:rPr>
        <w:t xml:space="preserve"> of tertiary-treated recycled water from POTW</w:t>
      </w:r>
      <w:r w:rsidR="00B45FC5">
        <w:rPr>
          <w:rFonts w:cs="Arial"/>
          <w:szCs w:val="22"/>
        </w:rPr>
        <w:t xml:space="preserve">s, </w:t>
      </w:r>
      <w:r>
        <w:rPr>
          <w:rFonts w:cs="Arial"/>
          <w:szCs w:val="22"/>
        </w:rPr>
        <w:t>storm-water runoff, dry-weather runoff, and rising</w:t>
      </w:r>
      <w:r w:rsidR="0035127C">
        <w:rPr>
          <w:rFonts w:cs="Arial"/>
          <w:szCs w:val="22"/>
        </w:rPr>
        <w:t xml:space="preserve"> groundwater</w:t>
      </w:r>
      <w:r w:rsidR="004A55CD">
        <w:rPr>
          <w:rFonts w:cs="Arial"/>
          <w:szCs w:val="22"/>
        </w:rPr>
        <w:t>.</w:t>
      </w:r>
      <w:r w:rsidR="002E0521">
        <w:rPr>
          <w:rFonts w:cs="Arial"/>
          <w:szCs w:val="22"/>
        </w:rPr>
        <w:t xml:space="preserve"> </w:t>
      </w:r>
      <w:r w:rsidR="001F28D5">
        <w:rPr>
          <w:rFonts w:cs="Arial"/>
          <w:szCs w:val="22"/>
        </w:rPr>
        <w:t xml:space="preserve">Each of these sources </w:t>
      </w:r>
      <w:r w:rsidR="00E47EF9">
        <w:rPr>
          <w:rFonts w:cs="Arial"/>
          <w:szCs w:val="22"/>
        </w:rPr>
        <w:t xml:space="preserve">contributes to groundwater recharge within </w:t>
      </w:r>
      <w:r w:rsidR="0035127C">
        <w:rPr>
          <w:rFonts w:cs="Arial"/>
          <w:szCs w:val="22"/>
        </w:rPr>
        <w:t xml:space="preserve">the </w:t>
      </w:r>
      <w:r w:rsidR="00E47EF9">
        <w:rPr>
          <w:rFonts w:cs="Arial"/>
          <w:szCs w:val="22"/>
        </w:rPr>
        <w:t xml:space="preserve">Bedford Basin and </w:t>
      </w:r>
      <w:r w:rsidR="00FC5E72">
        <w:rPr>
          <w:rFonts w:cs="Arial"/>
          <w:szCs w:val="22"/>
        </w:rPr>
        <w:t>is</w:t>
      </w:r>
      <w:r w:rsidR="001F28D5">
        <w:rPr>
          <w:rFonts w:cs="Arial"/>
          <w:szCs w:val="22"/>
        </w:rPr>
        <w:t xml:space="preserve"> described </w:t>
      </w:r>
      <w:r w:rsidR="002E0ED6">
        <w:rPr>
          <w:rFonts w:cs="Arial"/>
          <w:szCs w:val="22"/>
        </w:rPr>
        <w:t xml:space="preserve">below </w:t>
      </w:r>
      <w:r w:rsidR="001F28D5">
        <w:rPr>
          <w:rFonts w:cs="Arial"/>
          <w:szCs w:val="22"/>
        </w:rPr>
        <w:t>in more detail.</w:t>
      </w:r>
    </w:p>
    <w:p w14:paraId="21A2753C" w14:textId="5037C99E" w:rsidR="00B6183A" w:rsidRDefault="00EF7CD9" w:rsidP="00171A78">
      <w:pPr>
        <w:pStyle w:val="Heading3"/>
      </w:pPr>
      <w:bookmarkStart w:id="14" w:name="_Toc427921410"/>
      <w:r>
        <w:t xml:space="preserve">Recycled Water </w:t>
      </w:r>
      <w:r w:rsidR="00E3041E">
        <w:t>Discharge</w:t>
      </w:r>
      <w:bookmarkEnd w:id="14"/>
    </w:p>
    <w:p w14:paraId="707846F3" w14:textId="735898A2" w:rsidR="00B6183A" w:rsidRDefault="003D234C" w:rsidP="0087102F">
      <w:pPr>
        <w:pStyle w:val="StyleBodyText12ptJustified"/>
      </w:pPr>
      <w:r>
        <w:t xml:space="preserve">POTWs that discharge tertiary-treated </w:t>
      </w:r>
      <w:r w:rsidR="00ED5B6C">
        <w:rPr>
          <w:rFonts w:cs="Arial"/>
          <w:szCs w:val="22"/>
        </w:rPr>
        <w:t xml:space="preserve">recycled water </w:t>
      </w:r>
      <w:r>
        <w:t>to the Temescal Wash include</w:t>
      </w:r>
      <w:r w:rsidR="002E0ED6">
        <w:t>:</w:t>
      </w:r>
      <w:r>
        <w:t xml:space="preserve"> Corona Plant No. 3, </w:t>
      </w:r>
      <w:r w:rsidR="002E0ED6">
        <w:t xml:space="preserve">the </w:t>
      </w:r>
      <w:r w:rsidR="000D3764">
        <w:t xml:space="preserve">LLWD Water Reclamation Facility (WRF), </w:t>
      </w:r>
      <w:r w:rsidR="002E0ED6">
        <w:t xml:space="preserve">the </w:t>
      </w:r>
      <w:r w:rsidR="000D3764">
        <w:t xml:space="preserve">EMWD Recycled Water Pipeline, and </w:t>
      </w:r>
      <w:r w:rsidR="002E0ED6">
        <w:t xml:space="preserve">the </w:t>
      </w:r>
      <w:r w:rsidR="000D3764">
        <w:t xml:space="preserve">EVMWD Regional WRF. </w:t>
      </w:r>
      <w:r w:rsidR="00AC70B8">
        <w:t xml:space="preserve">Historical </w:t>
      </w:r>
      <w:r w:rsidR="0035127C">
        <w:t>estimates</w:t>
      </w:r>
      <w:r w:rsidR="00AC70B8">
        <w:t xml:space="preserve"> of </w:t>
      </w:r>
      <w:r w:rsidR="00EF7CD9">
        <w:t xml:space="preserve">recycled water </w:t>
      </w:r>
      <w:r w:rsidR="00C63B3E">
        <w:t xml:space="preserve">discharge were collected from each agency and from the </w:t>
      </w:r>
      <w:r w:rsidR="00E24DCF">
        <w:t>California State Water Resources Control Board</w:t>
      </w:r>
      <w:r w:rsidR="00C63B3E" w:rsidRPr="004D0D25">
        <w:t xml:space="preserve">. </w:t>
      </w:r>
      <w:r w:rsidR="000D3764" w:rsidRPr="004D0D25">
        <w:t>Figure 1-1 shows the location</w:t>
      </w:r>
      <w:r w:rsidR="002E0ED6">
        <w:t>s</w:t>
      </w:r>
      <w:r w:rsidR="000D3764" w:rsidRPr="004D0D25">
        <w:t xml:space="preserve"> of the </w:t>
      </w:r>
      <w:r w:rsidR="00AC70B8" w:rsidRPr="004D0D25">
        <w:t xml:space="preserve">POTW </w:t>
      </w:r>
      <w:r w:rsidR="000D3764" w:rsidRPr="004D0D25">
        <w:t xml:space="preserve">discharge points. </w:t>
      </w:r>
      <w:r w:rsidR="0097072E" w:rsidRPr="004D0D25">
        <w:t>Table 2-1 shows total annual</w:t>
      </w:r>
      <w:r w:rsidR="004E6DC4" w:rsidRPr="004D0D25">
        <w:t xml:space="preserve"> POTW</w:t>
      </w:r>
      <w:r w:rsidR="004E6DC4">
        <w:t xml:space="preserve"> discharge to </w:t>
      </w:r>
      <w:r w:rsidR="002E0ED6">
        <w:t xml:space="preserve">the </w:t>
      </w:r>
      <w:r w:rsidR="004E6DC4">
        <w:t xml:space="preserve">Temescal Wash by </w:t>
      </w:r>
      <w:r w:rsidR="00F007F9">
        <w:t xml:space="preserve">each </w:t>
      </w:r>
      <w:r w:rsidR="004E6DC4">
        <w:t xml:space="preserve">discharger. </w:t>
      </w:r>
      <w:r w:rsidR="0035127C" w:rsidRPr="0035127C">
        <w:t>Recycled water discharge</w:t>
      </w:r>
      <w:r w:rsidR="002E0ED6">
        <w:t>s from the EVMWD</w:t>
      </w:r>
      <w:r w:rsidR="0035127C" w:rsidRPr="0035127C">
        <w:t xml:space="preserve"> </w:t>
      </w:r>
      <w:r w:rsidR="002E0ED6">
        <w:t xml:space="preserve">to </w:t>
      </w:r>
      <w:r w:rsidR="0035127C" w:rsidRPr="0035127C">
        <w:t>the Temescal Wash began in January 1987</w:t>
      </w:r>
      <w:r w:rsidR="002E0ED6">
        <w:t>.</w:t>
      </w:r>
      <w:r w:rsidR="0035127C" w:rsidRPr="0035127C">
        <w:rPr>
          <w:vertAlign w:val="superscript"/>
        </w:rPr>
        <w:footnoteReference w:id="5"/>
      </w:r>
      <w:r w:rsidR="0035127C" w:rsidRPr="0035127C">
        <w:t xml:space="preserve"> </w:t>
      </w:r>
      <w:r w:rsidR="004E6DC4">
        <w:t>Between 1987 and 201</w:t>
      </w:r>
      <w:r w:rsidR="00707C8A">
        <w:t>3</w:t>
      </w:r>
      <w:r w:rsidR="004E6DC4">
        <w:t xml:space="preserve">, </w:t>
      </w:r>
      <w:r w:rsidR="002E0ED6">
        <w:t xml:space="preserve">the </w:t>
      </w:r>
      <w:r w:rsidR="004E6DC4">
        <w:t xml:space="preserve">average annual POTW discharge was approximately </w:t>
      </w:r>
      <w:r w:rsidR="00707C8A" w:rsidRPr="00707C8A">
        <w:t xml:space="preserve">6,590 </w:t>
      </w:r>
      <w:r w:rsidR="004E6DC4" w:rsidRPr="00707C8A">
        <w:t>acre-ft/yr</w:t>
      </w:r>
      <w:r w:rsidR="008E2D66">
        <w:t xml:space="preserve">, </w:t>
      </w:r>
      <w:r w:rsidR="004E6DC4">
        <w:t xml:space="preserve">maximum annual POTW discharge was approximately </w:t>
      </w:r>
      <w:r w:rsidR="00707C8A" w:rsidRPr="00707C8A">
        <w:t>2</w:t>
      </w:r>
      <w:r w:rsidR="00F007F9">
        <w:t>4</w:t>
      </w:r>
      <w:r w:rsidR="00707C8A" w:rsidRPr="00707C8A">
        <w:t>,</w:t>
      </w:r>
      <w:r w:rsidR="00F007F9">
        <w:t>370</w:t>
      </w:r>
      <w:r w:rsidR="004E6DC4" w:rsidRPr="00707C8A">
        <w:t xml:space="preserve"> acre-ft</w:t>
      </w:r>
      <w:r w:rsidR="00707C8A" w:rsidRPr="00707C8A">
        <w:t xml:space="preserve"> (2005</w:t>
      </w:r>
      <w:r w:rsidR="008E2D66">
        <w:t xml:space="preserve">), </w:t>
      </w:r>
      <w:r w:rsidR="004E6DC4">
        <w:t xml:space="preserve">and minimum </w:t>
      </w:r>
      <w:r w:rsidR="00740299">
        <w:t xml:space="preserve">annual POTW discharge was approximately </w:t>
      </w:r>
      <w:r w:rsidR="00707C8A" w:rsidRPr="00707C8A">
        <w:t>1,</w:t>
      </w:r>
      <w:r w:rsidR="00F007F9">
        <w:t>430</w:t>
      </w:r>
      <w:r w:rsidR="00740299" w:rsidRPr="00707C8A">
        <w:t xml:space="preserve"> acre-ft (</w:t>
      </w:r>
      <w:r w:rsidR="00707C8A" w:rsidRPr="00707C8A">
        <w:t>1987</w:t>
      </w:r>
      <w:r w:rsidR="00740299">
        <w:t>)</w:t>
      </w:r>
      <w:r w:rsidR="004E6DC4" w:rsidRPr="004E6DC4">
        <w:t>.</w:t>
      </w:r>
      <w:r w:rsidR="00ED6A3B">
        <w:t xml:space="preserve"> </w:t>
      </w:r>
      <w:r w:rsidR="002E0ED6">
        <w:t xml:space="preserve">After </w:t>
      </w:r>
      <w:r w:rsidR="002C2222">
        <w:t xml:space="preserve">peaking in 2005, the annual volume of recycled water </w:t>
      </w:r>
      <w:r w:rsidR="002E0ED6">
        <w:t xml:space="preserve">discharged </w:t>
      </w:r>
      <w:r w:rsidR="002C2222">
        <w:t xml:space="preserve">to </w:t>
      </w:r>
      <w:r w:rsidR="002E0ED6">
        <w:t xml:space="preserve">the </w:t>
      </w:r>
      <w:r w:rsidR="002C2222">
        <w:t>Temescal Wash declined</w:t>
      </w:r>
      <w:r w:rsidR="00B502DC">
        <w:t xml:space="preserve"> </w:t>
      </w:r>
      <w:r w:rsidR="007B32B6">
        <w:t>steadily</w:t>
      </w:r>
      <w:r w:rsidR="00B502DC">
        <w:t xml:space="preserve"> </w:t>
      </w:r>
      <w:r w:rsidR="007B32B6">
        <w:t xml:space="preserve">to about 3,500 acre-ft/yr in 2013. </w:t>
      </w:r>
      <w:r w:rsidR="002E0ED6">
        <w:t xml:space="preserve">This decline in recycled </w:t>
      </w:r>
      <w:r w:rsidR="007B32B6">
        <w:t xml:space="preserve">water discharge to </w:t>
      </w:r>
      <w:r w:rsidR="002E0ED6">
        <w:t xml:space="preserve">the </w:t>
      </w:r>
      <w:r w:rsidR="007B32B6">
        <w:t xml:space="preserve">Temescal Wash </w:t>
      </w:r>
      <w:r w:rsidR="002E0ED6">
        <w:t>is</w:t>
      </w:r>
      <w:r w:rsidR="007B32B6">
        <w:t xml:space="preserve"> due to improved management of recycled water by EMWD during wet years and increases in recycled water reuse.</w:t>
      </w:r>
      <w:r w:rsidR="00B502DC">
        <w:t xml:space="preserve"> </w:t>
      </w:r>
      <w:r w:rsidR="007B32B6">
        <w:t>This pattern of increasing recycled water reuse is projected to continue</w:t>
      </w:r>
      <w:r w:rsidR="00740299">
        <w:t>.</w:t>
      </w:r>
      <w:r w:rsidR="00ED6A3B">
        <w:t xml:space="preserve"> </w:t>
      </w:r>
      <w:r w:rsidR="00AC70B8">
        <w:t>Planning studies</w:t>
      </w:r>
      <w:r w:rsidR="00AC70B8" w:rsidRPr="00AC70B8">
        <w:t xml:space="preserve"> </w:t>
      </w:r>
      <w:r w:rsidR="00AC70B8">
        <w:t xml:space="preserve">recently completed by the Basin Monitoring Program Task Force </w:t>
      </w:r>
      <w:r w:rsidR="008E2D66">
        <w:t>(WEI, 2015</w:t>
      </w:r>
      <w:r w:rsidR="008E2D66" w:rsidRPr="00707C8A">
        <w:t>)</w:t>
      </w:r>
      <w:r w:rsidR="008E2D66">
        <w:t xml:space="preserve"> </w:t>
      </w:r>
      <w:r w:rsidR="00AC70B8">
        <w:t>indicate that future</w:t>
      </w:r>
      <w:r w:rsidR="00740299">
        <w:t xml:space="preserve"> POTW discharge to </w:t>
      </w:r>
      <w:r w:rsidR="002E0ED6">
        <w:t xml:space="preserve">the </w:t>
      </w:r>
      <w:r w:rsidR="00740299">
        <w:t>Temescal Wash</w:t>
      </w:r>
      <w:r w:rsidR="00AC70B8">
        <w:t xml:space="preserve"> will be lower than the past</w:t>
      </w:r>
      <w:r w:rsidR="00680B4C">
        <w:t>.</w:t>
      </w:r>
      <w:r w:rsidR="00613777">
        <w:t xml:space="preserve"> </w:t>
      </w:r>
      <w:r w:rsidR="00680B4C">
        <w:t xml:space="preserve">The planned 2020 POTW discharges to Temescal Wash </w:t>
      </w:r>
      <w:r w:rsidR="00AC70B8">
        <w:t>are</w:t>
      </w:r>
      <w:r w:rsidR="002E0ED6">
        <w:t>:</w:t>
      </w:r>
      <w:r w:rsidR="00AC70B8">
        <w:t xml:space="preserve"> </w:t>
      </w:r>
    </w:p>
    <w:p w14:paraId="5146D568" w14:textId="609AE28F" w:rsidR="006F2344" w:rsidRPr="00B51B43" w:rsidRDefault="006F2344" w:rsidP="006F2344">
      <w:pPr>
        <w:pStyle w:val="Caption"/>
        <w:keepNext/>
        <w:jc w:val="center"/>
        <w:rPr>
          <w:rFonts w:asciiTheme="majorHAnsi" w:hAnsiTheme="majorHAnsi"/>
          <w:sz w:val="20"/>
        </w:rPr>
      </w:pPr>
    </w:p>
    <w:tbl>
      <w:tblPr>
        <w:tblStyle w:val="TableGrid"/>
        <w:tblW w:w="0" w:type="auto"/>
        <w:jc w:val="center"/>
        <w:tblLook w:val="04A0" w:firstRow="1" w:lastRow="0" w:firstColumn="1" w:lastColumn="0" w:noHBand="0" w:noVBand="1"/>
      </w:tblPr>
      <w:tblGrid>
        <w:gridCol w:w="3754"/>
        <w:gridCol w:w="1349"/>
      </w:tblGrid>
      <w:tr w:rsidR="00A310D0" w:rsidRPr="00A310D0" w14:paraId="4C648978" w14:textId="77777777" w:rsidTr="001D16ED">
        <w:trPr>
          <w:cantSplit/>
          <w:trHeight w:hRule="exact" w:val="523"/>
          <w:jc w:val="center"/>
        </w:trPr>
        <w:tc>
          <w:tcPr>
            <w:tcW w:w="3754" w:type="dxa"/>
            <w:vMerge w:val="restart"/>
            <w:tcBorders>
              <w:bottom w:val="nil"/>
              <w:right w:val="single" w:sz="4" w:space="0" w:color="FFFFFF" w:themeColor="background1"/>
            </w:tcBorders>
            <w:shd w:val="clear" w:color="auto" w:fill="000090"/>
            <w:vAlign w:val="center"/>
          </w:tcPr>
          <w:p w14:paraId="2575DDCF" w14:textId="77777777" w:rsidR="006F2344" w:rsidRPr="0035127C" w:rsidRDefault="006F2344" w:rsidP="001D16ED">
            <w:pPr>
              <w:pStyle w:val="StyleBodyText12ptJustified"/>
              <w:keepNext/>
              <w:jc w:val="center"/>
              <w:rPr>
                <w:b/>
                <w:color w:val="FFFFFF" w:themeColor="background1"/>
                <w:sz w:val="20"/>
              </w:rPr>
            </w:pPr>
            <w:r w:rsidRPr="0035127C">
              <w:rPr>
                <w:b/>
                <w:color w:val="FFFFFF" w:themeColor="background1"/>
                <w:sz w:val="20"/>
              </w:rPr>
              <w:t>POTW</w:t>
            </w:r>
          </w:p>
        </w:tc>
        <w:tc>
          <w:tcPr>
            <w:tcW w:w="1349" w:type="dxa"/>
            <w:tcBorders>
              <w:left w:val="single" w:sz="4" w:space="0" w:color="FFFFFF" w:themeColor="background1"/>
              <w:bottom w:val="single" w:sz="4" w:space="0" w:color="FFFFFF" w:themeColor="background1"/>
            </w:tcBorders>
            <w:shd w:val="clear" w:color="auto" w:fill="000090"/>
          </w:tcPr>
          <w:p w14:paraId="35CB1EAC" w14:textId="77777777" w:rsidR="006F2344" w:rsidRPr="0035127C" w:rsidRDefault="006F2344" w:rsidP="001D16ED">
            <w:pPr>
              <w:pStyle w:val="StyleBodyText12ptJustified"/>
              <w:keepNext/>
              <w:jc w:val="center"/>
              <w:rPr>
                <w:b/>
                <w:color w:val="FFFFFF" w:themeColor="background1"/>
                <w:sz w:val="20"/>
              </w:rPr>
            </w:pPr>
            <w:r w:rsidRPr="0035127C">
              <w:rPr>
                <w:b/>
                <w:color w:val="FFFFFF" w:themeColor="background1"/>
                <w:sz w:val="20"/>
              </w:rPr>
              <w:t>Total Annual Discharge</w:t>
            </w:r>
          </w:p>
        </w:tc>
      </w:tr>
      <w:tr w:rsidR="00A310D0" w:rsidRPr="00A310D0" w14:paraId="0202DBBE" w14:textId="77777777" w:rsidTr="001D16ED">
        <w:trPr>
          <w:cantSplit/>
          <w:trHeight w:hRule="exact" w:val="299"/>
          <w:jc w:val="center"/>
        </w:trPr>
        <w:tc>
          <w:tcPr>
            <w:tcW w:w="3754" w:type="dxa"/>
            <w:vMerge/>
            <w:tcBorders>
              <w:top w:val="nil"/>
              <w:bottom w:val="nil"/>
              <w:right w:val="single" w:sz="4" w:space="0" w:color="FFFFFF" w:themeColor="background1"/>
            </w:tcBorders>
            <w:shd w:val="clear" w:color="auto" w:fill="000090"/>
          </w:tcPr>
          <w:p w14:paraId="47FAAA64" w14:textId="77777777" w:rsidR="006F2344" w:rsidRPr="00002090" w:rsidRDefault="006F2344" w:rsidP="00002090">
            <w:pPr>
              <w:pStyle w:val="StyleBodyText12ptJustified"/>
              <w:keepNext/>
              <w:ind w:left="1600"/>
              <w:rPr>
                <w:b/>
                <w:color w:val="FFFFFF" w:themeColor="background1"/>
                <w:sz w:val="20"/>
              </w:rPr>
            </w:pPr>
          </w:p>
        </w:tc>
        <w:tc>
          <w:tcPr>
            <w:tcW w:w="1349" w:type="dxa"/>
            <w:tcBorders>
              <w:top w:val="single" w:sz="4" w:space="0" w:color="FFFFFF" w:themeColor="background1"/>
              <w:left w:val="single" w:sz="4" w:space="0" w:color="FFFFFF" w:themeColor="background1"/>
              <w:bottom w:val="nil"/>
            </w:tcBorders>
            <w:shd w:val="clear" w:color="auto" w:fill="000090"/>
            <w:vAlign w:val="center"/>
          </w:tcPr>
          <w:p w14:paraId="7667AA72" w14:textId="77777777" w:rsidR="006F2344" w:rsidRPr="006D61BD" w:rsidRDefault="00A310D0" w:rsidP="001D16ED">
            <w:pPr>
              <w:pStyle w:val="StyleBodyText12ptJustified"/>
              <w:keepNext/>
              <w:jc w:val="center"/>
              <w:rPr>
                <w:color w:val="FFFFFF" w:themeColor="background1"/>
                <w:sz w:val="20"/>
              </w:rPr>
            </w:pPr>
            <w:r w:rsidRPr="006D61BD">
              <w:rPr>
                <w:bCs/>
                <w:color w:val="FFFFFF" w:themeColor="background1"/>
                <w:sz w:val="20"/>
              </w:rPr>
              <w:t>(</w:t>
            </w:r>
            <w:r w:rsidR="006F2344" w:rsidRPr="006D61BD">
              <w:rPr>
                <w:color w:val="FFFFFF" w:themeColor="background1"/>
                <w:sz w:val="20"/>
              </w:rPr>
              <w:t>acre-ft/y</w:t>
            </w:r>
            <w:r w:rsidR="004845A4" w:rsidRPr="006D61BD">
              <w:rPr>
                <w:color w:val="FFFFFF" w:themeColor="background1"/>
                <w:sz w:val="20"/>
              </w:rPr>
              <w:t>r</w:t>
            </w:r>
            <w:r w:rsidRPr="006D61BD">
              <w:rPr>
                <w:bCs/>
                <w:color w:val="FFFFFF" w:themeColor="background1"/>
                <w:sz w:val="20"/>
              </w:rPr>
              <w:t>)</w:t>
            </w:r>
          </w:p>
        </w:tc>
      </w:tr>
      <w:tr w:rsidR="006F2344" w14:paraId="72C046AF" w14:textId="77777777" w:rsidTr="001D16ED">
        <w:trPr>
          <w:cantSplit/>
          <w:trHeight w:hRule="exact" w:val="373"/>
          <w:jc w:val="center"/>
        </w:trPr>
        <w:tc>
          <w:tcPr>
            <w:tcW w:w="3754" w:type="dxa"/>
            <w:tcBorders>
              <w:top w:val="nil"/>
              <w:left w:val="single" w:sz="8" w:space="0" w:color="000090"/>
              <w:bottom w:val="nil"/>
              <w:right w:val="single" w:sz="8" w:space="0" w:color="000090"/>
            </w:tcBorders>
            <w:vAlign w:val="center"/>
          </w:tcPr>
          <w:p w14:paraId="42B4B31B" w14:textId="77777777" w:rsidR="006F2344" w:rsidRPr="006F2344" w:rsidRDefault="006F2344" w:rsidP="001D16ED">
            <w:pPr>
              <w:pStyle w:val="StyleBodyText12ptJustified"/>
              <w:keepNext/>
              <w:jc w:val="left"/>
              <w:rPr>
                <w:sz w:val="20"/>
              </w:rPr>
            </w:pPr>
            <w:r>
              <w:rPr>
                <w:sz w:val="20"/>
              </w:rPr>
              <w:t xml:space="preserve">City of Corona – Plant </w:t>
            </w:r>
            <w:r w:rsidR="009F7809">
              <w:rPr>
                <w:sz w:val="20"/>
              </w:rPr>
              <w:t xml:space="preserve">No. </w:t>
            </w:r>
            <w:r>
              <w:rPr>
                <w:sz w:val="20"/>
              </w:rPr>
              <w:t>3</w:t>
            </w:r>
          </w:p>
        </w:tc>
        <w:tc>
          <w:tcPr>
            <w:tcW w:w="1349" w:type="dxa"/>
            <w:tcBorders>
              <w:top w:val="nil"/>
              <w:left w:val="single" w:sz="8" w:space="0" w:color="000090"/>
              <w:bottom w:val="nil"/>
              <w:right w:val="single" w:sz="8" w:space="0" w:color="000090"/>
            </w:tcBorders>
            <w:vAlign w:val="center"/>
          </w:tcPr>
          <w:p w14:paraId="2947FDA9" w14:textId="77777777" w:rsidR="006F2344" w:rsidRDefault="006F2344" w:rsidP="001D16ED">
            <w:pPr>
              <w:pStyle w:val="StyleBodyText12ptJustified"/>
              <w:keepNext/>
              <w:jc w:val="center"/>
              <w:rPr>
                <w:sz w:val="20"/>
              </w:rPr>
            </w:pPr>
            <w:r>
              <w:rPr>
                <w:sz w:val="20"/>
              </w:rPr>
              <w:t>0</w:t>
            </w:r>
          </w:p>
          <w:p w14:paraId="49DB079F" w14:textId="77777777" w:rsidR="006F2344" w:rsidRPr="006F2344" w:rsidRDefault="006F2344" w:rsidP="001D16ED">
            <w:pPr>
              <w:pStyle w:val="StyleBodyText12ptJustified"/>
              <w:keepNext/>
              <w:jc w:val="center"/>
              <w:rPr>
                <w:sz w:val="20"/>
              </w:rPr>
            </w:pPr>
          </w:p>
        </w:tc>
      </w:tr>
      <w:tr w:rsidR="006F2344" w14:paraId="0B254C79" w14:textId="77777777" w:rsidTr="001D16ED">
        <w:trPr>
          <w:cantSplit/>
          <w:trHeight w:hRule="exact" w:val="373"/>
          <w:jc w:val="center"/>
        </w:trPr>
        <w:tc>
          <w:tcPr>
            <w:tcW w:w="3754" w:type="dxa"/>
            <w:tcBorders>
              <w:top w:val="nil"/>
              <w:left w:val="single" w:sz="8" w:space="0" w:color="000090"/>
              <w:bottom w:val="nil"/>
              <w:right w:val="single" w:sz="8" w:space="0" w:color="000090"/>
            </w:tcBorders>
            <w:vAlign w:val="center"/>
          </w:tcPr>
          <w:p w14:paraId="5564A54E" w14:textId="77777777" w:rsidR="006F2344" w:rsidRPr="006F2344" w:rsidRDefault="006F2344" w:rsidP="001D16ED">
            <w:pPr>
              <w:pStyle w:val="StyleBodyText12ptJustified"/>
              <w:keepNext/>
              <w:jc w:val="left"/>
              <w:rPr>
                <w:sz w:val="20"/>
              </w:rPr>
            </w:pPr>
            <w:r>
              <w:rPr>
                <w:sz w:val="20"/>
              </w:rPr>
              <w:t>Lee Lake Water District WRF</w:t>
            </w:r>
          </w:p>
        </w:tc>
        <w:tc>
          <w:tcPr>
            <w:tcW w:w="1349" w:type="dxa"/>
            <w:tcBorders>
              <w:top w:val="nil"/>
              <w:left w:val="single" w:sz="8" w:space="0" w:color="000090"/>
              <w:bottom w:val="nil"/>
              <w:right w:val="single" w:sz="8" w:space="0" w:color="000090"/>
            </w:tcBorders>
            <w:vAlign w:val="center"/>
          </w:tcPr>
          <w:p w14:paraId="11267363" w14:textId="77777777" w:rsidR="006F2344" w:rsidRPr="006F2344" w:rsidRDefault="006F2344" w:rsidP="001D16ED">
            <w:pPr>
              <w:pStyle w:val="StyleBodyText12ptJustified"/>
              <w:keepNext/>
              <w:jc w:val="center"/>
              <w:rPr>
                <w:sz w:val="20"/>
              </w:rPr>
            </w:pPr>
            <w:r>
              <w:rPr>
                <w:sz w:val="20"/>
              </w:rPr>
              <w:t>0</w:t>
            </w:r>
          </w:p>
        </w:tc>
      </w:tr>
      <w:tr w:rsidR="006F2344" w14:paraId="1F167B10" w14:textId="77777777" w:rsidTr="001D16ED">
        <w:trPr>
          <w:cantSplit/>
          <w:trHeight w:hRule="exact" w:val="373"/>
          <w:jc w:val="center"/>
        </w:trPr>
        <w:tc>
          <w:tcPr>
            <w:tcW w:w="3754" w:type="dxa"/>
            <w:tcBorders>
              <w:top w:val="nil"/>
              <w:left w:val="single" w:sz="8" w:space="0" w:color="000090"/>
              <w:bottom w:val="nil"/>
              <w:right w:val="single" w:sz="8" w:space="0" w:color="000090"/>
            </w:tcBorders>
            <w:vAlign w:val="center"/>
          </w:tcPr>
          <w:p w14:paraId="30F37794" w14:textId="77777777" w:rsidR="006F2344" w:rsidRPr="006F2344" w:rsidRDefault="009F7809" w:rsidP="001D16ED">
            <w:pPr>
              <w:pStyle w:val="StyleBodyText12ptJustified"/>
              <w:keepNext/>
              <w:jc w:val="left"/>
              <w:rPr>
                <w:sz w:val="20"/>
              </w:rPr>
            </w:pPr>
            <w:r>
              <w:rPr>
                <w:sz w:val="20"/>
              </w:rPr>
              <w:t>EVMWD Regional WRF</w:t>
            </w:r>
          </w:p>
        </w:tc>
        <w:tc>
          <w:tcPr>
            <w:tcW w:w="1349" w:type="dxa"/>
            <w:tcBorders>
              <w:top w:val="nil"/>
              <w:left w:val="single" w:sz="8" w:space="0" w:color="000090"/>
              <w:bottom w:val="nil"/>
              <w:right w:val="single" w:sz="8" w:space="0" w:color="000090"/>
            </w:tcBorders>
            <w:vAlign w:val="center"/>
          </w:tcPr>
          <w:p w14:paraId="073F3665" w14:textId="77777777" w:rsidR="006F2344" w:rsidRPr="006F2344" w:rsidRDefault="006F2344" w:rsidP="001D16ED">
            <w:pPr>
              <w:pStyle w:val="StyleBodyText12ptJustified"/>
              <w:keepNext/>
              <w:jc w:val="center"/>
              <w:rPr>
                <w:sz w:val="20"/>
              </w:rPr>
            </w:pPr>
            <w:r>
              <w:rPr>
                <w:sz w:val="20"/>
              </w:rPr>
              <w:t>560</w:t>
            </w:r>
          </w:p>
        </w:tc>
      </w:tr>
      <w:tr w:rsidR="006F2344" w14:paraId="6F3CEB18" w14:textId="77777777" w:rsidTr="001D16ED">
        <w:trPr>
          <w:cantSplit/>
          <w:trHeight w:hRule="exact" w:val="373"/>
          <w:jc w:val="center"/>
        </w:trPr>
        <w:tc>
          <w:tcPr>
            <w:tcW w:w="3754" w:type="dxa"/>
            <w:tcBorders>
              <w:top w:val="nil"/>
              <w:left w:val="single" w:sz="8" w:space="0" w:color="000090"/>
              <w:bottom w:val="single" w:sz="8" w:space="0" w:color="000090"/>
              <w:right w:val="single" w:sz="8" w:space="0" w:color="000090"/>
            </w:tcBorders>
            <w:vAlign w:val="center"/>
          </w:tcPr>
          <w:p w14:paraId="3C7BDB65" w14:textId="77777777" w:rsidR="006F2344" w:rsidRPr="006F2344" w:rsidRDefault="009F7809" w:rsidP="001D16ED">
            <w:pPr>
              <w:pStyle w:val="StyleBodyText12ptJustified"/>
              <w:keepNext/>
              <w:jc w:val="left"/>
              <w:rPr>
                <w:sz w:val="20"/>
              </w:rPr>
            </w:pPr>
            <w:r>
              <w:rPr>
                <w:sz w:val="20"/>
              </w:rPr>
              <w:t>EMWD Recycled Water Pipeline</w:t>
            </w:r>
          </w:p>
        </w:tc>
        <w:tc>
          <w:tcPr>
            <w:tcW w:w="1349" w:type="dxa"/>
            <w:tcBorders>
              <w:top w:val="nil"/>
              <w:left w:val="single" w:sz="8" w:space="0" w:color="000090"/>
              <w:bottom w:val="single" w:sz="8" w:space="0" w:color="000090"/>
              <w:right w:val="single" w:sz="8" w:space="0" w:color="000090"/>
            </w:tcBorders>
            <w:vAlign w:val="center"/>
          </w:tcPr>
          <w:p w14:paraId="769C8F93" w14:textId="77777777" w:rsidR="006F2344" w:rsidRPr="006F2344" w:rsidRDefault="006F2344" w:rsidP="001D16ED">
            <w:pPr>
              <w:pStyle w:val="StyleBodyText12ptJustified"/>
              <w:keepNext/>
              <w:jc w:val="center"/>
              <w:rPr>
                <w:sz w:val="20"/>
              </w:rPr>
            </w:pPr>
            <w:r>
              <w:rPr>
                <w:sz w:val="20"/>
              </w:rPr>
              <w:t>0</w:t>
            </w:r>
          </w:p>
        </w:tc>
      </w:tr>
    </w:tbl>
    <w:p w14:paraId="0F13D8C1" w14:textId="77777777" w:rsidR="005F1541" w:rsidRDefault="005F1541" w:rsidP="00D22245">
      <w:pPr>
        <w:pStyle w:val="ArlBody"/>
        <w:rPr>
          <w:rFonts w:asciiTheme="majorHAnsi" w:hAnsiTheme="majorHAnsi"/>
          <w:sz w:val="22"/>
          <w:szCs w:val="22"/>
        </w:rPr>
      </w:pPr>
    </w:p>
    <w:p w14:paraId="076F2049" w14:textId="30BB9B84" w:rsidR="005F1541" w:rsidRPr="00D22245" w:rsidRDefault="007B32B6" w:rsidP="00D22245">
      <w:pPr>
        <w:pStyle w:val="ArlBody"/>
        <w:rPr>
          <w:rFonts w:asciiTheme="majorHAnsi" w:hAnsiTheme="majorHAnsi"/>
          <w:sz w:val="22"/>
          <w:szCs w:val="22"/>
        </w:rPr>
      </w:pPr>
      <w:r>
        <w:rPr>
          <w:rFonts w:asciiTheme="majorHAnsi" w:hAnsiTheme="majorHAnsi"/>
          <w:sz w:val="22"/>
          <w:szCs w:val="22"/>
        </w:rPr>
        <w:t xml:space="preserve">The </w:t>
      </w:r>
      <w:r w:rsidR="002E0ED6">
        <w:rPr>
          <w:rFonts w:asciiTheme="majorHAnsi" w:hAnsiTheme="majorHAnsi"/>
          <w:sz w:val="22"/>
          <w:szCs w:val="22"/>
        </w:rPr>
        <w:t xml:space="preserve">EVMWD’s </w:t>
      </w:r>
      <w:r w:rsidR="00487C97">
        <w:rPr>
          <w:rFonts w:asciiTheme="majorHAnsi" w:hAnsiTheme="majorHAnsi"/>
          <w:sz w:val="22"/>
          <w:szCs w:val="22"/>
        </w:rPr>
        <w:t xml:space="preserve">planned </w:t>
      </w:r>
      <w:r w:rsidR="002E4510">
        <w:rPr>
          <w:rFonts w:asciiTheme="majorHAnsi" w:hAnsiTheme="majorHAnsi"/>
          <w:sz w:val="22"/>
          <w:szCs w:val="22"/>
        </w:rPr>
        <w:t xml:space="preserve">560 acre-ft/yr </w:t>
      </w:r>
      <w:r w:rsidR="00487C97">
        <w:rPr>
          <w:rFonts w:asciiTheme="majorHAnsi" w:hAnsiTheme="majorHAnsi"/>
          <w:sz w:val="22"/>
          <w:szCs w:val="22"/>
        </w:rPr>
        <w:t xml:space="preserve">recycled water discharge </w:t>
      </w:r>
      <w:r>
        <w:rPr>
          <w:rFonts w:asciiTheme="majorHAnsi" w:hAnsiTheme="majorHAnsi"/>
          <w:sz w:val="22"/>
          <w:szCs w:val="22"/>
        </w:rPr>
        <w:t xml:space="preserve"> </w:t>
      </w:r>
      <w:r w:rsidR="00487C97">
        <w:rPr>
          <w:rFonts w:asciiTheme="majorHAnsi" w:hAnsiTheme="majorHAnsi"/>
          <w:sz w:val="22"/>
          <w:szCs w:val="22"/>
        </w:rPr>
        <w:t>will be</w:t>
      </w:r>
      <w:r w:rsidR="00B502DC">
        <w:rPr>
          <w:rFonts w:asciiTheme="majorHAnsi" w:hAnsiTheme="majorHAnsi"/>
          <w:sz w:val="22"/>
          <w:szCs w:val="22"/>
        </w:rPr>
        <w:t xml:space="preserve"> </w:t>
      </w:r>
      <w:r>
        <w:rPr>
          <w:rFonts w:asciiTheme="majorHAnsi" w:hAnsiTheme="majorHAnsi"/>
          <w:sz w:val="22"/>
          <w:szCs w:val="22"/>
        </w:rPr>
        <w:t xml:space="preserve">primarily </w:t>
      </w:r>
      <w:r w:rsidR="002E4510">
        <w:rPr>
          <w:rFonts w:asciiTheme="majorHAnsi" w:hAnsiTheme="majorHAnsi"/>
          <w:sz w:val="22"/>
          <w:szCs w:val="22"/>
        </w:rPr>
        <w:t xml:space="preserve">done </w:t>
      </w:r>
      <w:r>
        <w:rPr>
          <w:rFonts w:asciiTheme="majorHAnsi" w:hAnsiTheme="majorHAnsi"/>
          <w:sz w:val="22"/>
          <w:szCs w:val="22"/>
        </w:rPr>
        <w:t xml:space="preserve">to support riparian </w:t>
      </w:r>
      <w:r w:rsidR="00680B4C">
        <w:rPr>
          <w:rFonts w:asciiTheme="majorHAnsi" w:hAnsiTheme="majorHAnsi"/>
          <w:sz w:val="22"/>
          <w:szCs w:val="22"/>
        </w:rPr>
        <w:t xml:space="preserve">habitat </w:t>
      </w:r>
      <w:r>
        <w:rPr>
          <w:rFonts w:asciiTheme="majorHAnsi" w:hAnsiTheme="majorHAnsi"/>
          <w:sz w:val="22"/>
          <w:szCs w:val="22"/>
        </w:rPr>
        <w:t>in the Warm Spring</w:t>
      </w:r>
      <w:r w:rsidR="00951E5A">
        <w:rPr>
          <w:rFonts w:asciiTheme="majorHAnsi" w:hAnsiTheme="majorHAnsi"/>
          <w:sz w:val="22"/>
          <w:szCs w:val="22"/>
        </w:rPr>
        <w:t>s Valley</w:t>
      </w:r>
      <w:r>
        <w:rPr>
          <w:rFonts w:asciiTheme="majorHAnsi" w:hAnsiTheme="majorHAnsi"/>
          <w:sz w:val="22"/>
          <w:szCs w:val="22"/>
        </w:rPr>
        <w:t xml:space="preserve"> Basin</w:t>
      </w:r>
      <w:r w:rsidR="002E4510">
        <w:rPr>
          <w:rFonts w:asciiTheme="majorHAnsi" w:hAnsiTheme="majorHAnsi"/>
          <w:sz w:val="22"/>
          <w:szCs w:val="22"/>
        </w:rPr>
        <w:t>,</w:t>
      </w:r>
      <w:r>
        <w:rPr>
          <w:rFonts w:asciiTheme="majorHAnsi" w:hAnsiTheme="majorHAnsi"/>
          <w:sz w:val="22"/>
          <w:szCs w:val="22"/>
        </w:rPr>
        <w:t xml:space="preserve"> </w:t>
      </w:r>
      <w:r w:rsidR="002E4510">
        <w:rPr>
          <w:rFonts w:asciiTheme="majorHAnsi" w:hAnsiTheme="majorHAnsi"/>
          <w:sz w:val="22"/>
          <w:szCs w:val="22"/>
        </w:rPr>
        <w:t xml:space="preserve">located </w:t>
      </w:r>
      <w:r>
        <w:rPr>
          <w:rFonts w:asciiTheme="majorHAnsi" w:hAnsiTheme="majorHAnsi"/>
          <w:sz w:val="22"/>
          <w:szCs w:val="22"/>
        </w:rPr>
        <w:t xml:space="preserve">directly downstream of the EVMWD Regional WRF discharge point and </w:t>
      </w:r>
      <w:r w:rsidR="009E5932" w:rsidRPr="009E5932">
        <w:rPr>
          <w:rFonts w:asciiTheme="majorHAnsi" w:hAnsiTheme="majorHAnsi"/>
          <w:sz w:val="22"/>
          <w:szCs w:val="22"/>
        </w:rPr>
        <w:t>about 8.6</w:t>
      </w:r>
      <w:r>
        <w:rPr>
          <w:rFonts w:asciiTheme="majorHAnsi" w:hAnsiTheme="majorHAnsi"/>
          <w:sz w:val="22"/>
          <w:szCs w:val="22"/>
        </w:rPr>
        <w:t xml:space="preserve"> miles upstream of the Bedford Basin</w:t>
      </w:r>
      <w:r w:rsidR="00487C97">
        <w:rPr>
          <w:rFonts w:asciiTheme="majorHAnsi" w:hAnsiTheme="majorHAnsi"/>
          <w:sz w:val="22"/>
          <w:szCs w:val="22"/>
        </w:rPr>
        <w:t>.</w:t>
      </w:r>
      <w:r>
        <w:rPr>
          <w:rFonts w:asciiTheme="majorHAnsi" w:hAnsiTheme="majorHAnsi"/>
          <w:sz w:val="22"/>
          <w:szCs w:val="22"/>
        </w:rPr>
        <w:t xml:space="preserve"> </w:t>
      </w:r>
      <w:r w:rsidR="00487C97">
        <w:rPr>
          <w:rFonts w:asciiTheme="majorHAnsi" w:hAnsiTheme="majorHAnsi"/>
          <w:sz w:val="22"/>
          <w:szCs w:val="22"/>
        </w:rPr>
        <w:t>I</w:t>
      </w:r>
      <w:r>
        <w:rPr>
          <w:rFonts w:asciiTheme="majorHAnsi" w:hAnsiTheme="majorHAnsi"/>
          <w:sz w:val="22"/>
          <w:szCs w:val="22"/>
        </w:rPr>
        <w:t xml:space="preserve">t is unlikely that the recycled water discharged by </w:t>
      </w:r>
      <w:r w:rsidR="002E4510">
        <w:rPr>
          <w:rFonts w:asciiTheme="majorHAnsi" w:hAnsiTheme="majorHAnsi"/>
          <w:sz w:val="22"/>
          <w:szCs w:val="22"/>
        </w:rPr>
        <w:t xml:space="preserve">the </w:t>
      </w:r>
      <w:r>
        <w:rPr>
          <w:rFonts w:asciiTheme="majorHAnsi" w:hAnsiTheme="majorHAnsi"/>
          <w:sz w:val="22"/>
          <w:szCs w:val="22"/>
        </w:rPr>
        <w:t>EVMWD will recharge the Bedford Basin except during storms where it can mix with storm</w:t>
      </w:r>
      <w:r w:rsidR="00487C97">
        <w:rPr>
          <w:rFonts w:asciiTheme="majorHAnsi" w:hAnsiTheme="majorHAnsi"/>
          <w:sz w:val="22"/>
          <w:szCs w:val="22"/>
        </w:rPr>
        <w:t>-</w:t>
      </w:r>
      <w:r>
        <w:rPr>
          <w:rFonts w:asciiTheme="majorHAnsi" w:hAnsiTheme="majorHAnsi"/>
          <w:sz w:val="22"/>
          <w:szCs w:val="22"/>
        </w:rPr>
        <w:t>water and flow down</w:t>
      </w:r>
      <w:r w:rsidR="00487C97">
        <w:rPr>
          <w:rFonts w:asciiTheme="majorHAnsi" w:hAnsiTheme="majorHAnsi"/>
          <w:sz w:val="22"/>
          <w:szCs w:val="22"/>
        </w:rPr>
        <w:t>stream</w:t>
      </w:r>
      <w:r>
        <w:rPr>
          <w:rFonts w:asciiTheme="majorHAnsi" w:hAnsiTheme="majorHAnsi"/>
          <w:sz w:val="22"/>
          <w:szCs w:val="22"/>
        </w:rPr>
        <w:t xml:space="preserve"> to the Bedford Basin. </w:t>
      </w:r>
    </w:p>
    <w:p w14:paraId="4D363E86" w14:textId="77777777" w:rsidR="002878DB" w:rsidRDefault="00E3041E" w:rsidP="00171A78">
      <w:pPr>
        <w:pStyle w:val="Heading3"/>
      </w:pPr>
      <w:bookmarkStart w:id="15" w:name="_Toc427921411"/>
      <w:r>
        <w:t>Storm-Water Runoff</w:t>
      </w:r>
      <w:bookmarkEnd w:id="15"/>
    </w:p>
    <w:p w14:paraId="7D93D501" w14:textId="0F2D8BC4" w:rsidR="00EC5FAE" w:rsidRDefault="00EC5FAE" w:rsidP="00EC5FAE">
      <w:pPr>
        <w:pStyle w:val="StyleBodyText12ptJustified"/>
      </w:pPr>
      <w:r>
        <w:t>Storm</w:t>
      </w:r>
      <w:r w:rsidR="00114AD8">
        <w:t>-</w:t>
      </w:r>
      <w:r>
        <w:t xml:space="preserve">water is </w:t>
      </w:r>
      <w:r w:rsidR="00114AD8">
        <w:t xml:space="preserve">the </w:t>
      </w:r>
      <w:r>
        <w:t xml:space="preserve">largest source of natural recharge to the basin. </w:t>
      </w:r>
      <w:r w:rsidR="002E4510">
        <w:t xml:space="preserve">Currently, there </w:t>
      </w:r>
      <w:r>
        <w:t>are no active stream</w:t>
      </w:r>
      <w:r w:rsidR="00680B4C">
        <w:t xml:space="preserve"> </w:t>
      </w:r>
      <w:r>
        <w:t xml:space="preserve">gages in the Bedford Basin. The USGS constructed and operated stream-gage 11072000 from 1927 to 1980. The stream-gage was located approximately 2,300 feet downstream of the Bedford Basin boundary (Figure 1-1). </w:t>
      </w:r>
      <w:r w:rsidR="00507463">
        <w:t xml:space="preserve">The drainage area tributary to the gage excluding the drainage area tributary to Lake Elsinore is about </w:t>
      </w:r>
      <w:r w:rsidR="00114AD8">
        <w:t>164</w:t>
      </w:r>
      <w:r w:rsidR="00951E5A">
        <w:t xml:space="preserve"> </w:t>
      </w:r>
      <w:r w:rsidR="00507463">
        <w:t>square miles.</w:t>
      </w:r>
      <w:r w:rsidR="00613777">
        <w:t xml:space="preserve"> </w:t>
      </w:r>
      <w:r>
        <w:t xml:space="preserve">The USGS considers the records from this gage to be </w:t>
      </w:r>
      <w:r w:rsidR="00FB0FF5">
        <w:t>“</w:t>
      </w:r>
      <w:r>
        <w:t>poor</w:t>
      </w:r>
      <w:r w:rsidR="00FB0FF5">
        <w:t>”</w:t>
      </w:r>
      <w:r>
        <w:t xml:space="preserve"> due to the irrigation diversions that were located upstream of the gage during </w:t>
      </w:r>
      <w:r w:rsidR="002E4510">
        <w:t xml:space="preserve">its </w:t>
      </w:r>
      <w:r>
        <w:t xml:space="preserve">operation. </w:t>
      </w:r>
      <w:r w:rsidR="002E4510">
        <w:t>That said, t</w:t>
      </w:r>
      <w:r w:rsidR="002E4510" w:rsidRPr="00EC5FAE">
        <w:t xml:space="preserve">he </w:t>
      </w:r>
      <w:r w:rsidRPr="00EC5FAE">
        <w:t>“poor” characterization doesn’t mean that the gage measurements were poor, but rather</w:t>
      </w:r>
      <w:r w:rsidR="002E4510">
        <w:t>,</w:t>
      </w:r>
      <w:r w:rsidRPr="00EC5FAE">
        <w:t xml:space="preserve"> </w:t>
      </w:r>
      <w:r>
        <w:t>due to upstream diversions</w:t>
      </w:r>
      <w:r w:rsidR="002E4510">
        <w:t>,</w:t>
      </w:r>
      <w:r>
        <w:t xml:space="preserve"> the gage measurements do not represent the expected runoff that would have occurred without the diversions. It is unlikely that diversions</w:t>
      </w:r>
      <w:r w:rsidR="002E4510">
        <w:t>,</w:t>
      </w:r>
      <w:r>
        <w:t xml:space="preserve"> other than </w:t>
      </w:r>
      <w:r w:rsidR="00680B4C">
        <w:t>diversion</w:t>
      </w:r>
      <w:r w:rsidR="002E4510">
        <w:t>s</w:t>
      </w:r>
      <w:r w:rsidR="00680B4C">
        <w:t xml:space="preserve"> to </w:t>
      </w:r>
      <w:r>
        <w:t>storage in Lee Lake</w:t>
      </w:r>
      <w:r w:rsidR="002E4510">
        <w:t>,</w:t>
      </w:r>
      <w:r>
        <w:t xml:space="preserve"> </w:t>
      </w:r>
      <w:r w:rsidRPr="00EC5FAE">
        <w:t>would have significantly affected the storm-water measurements at gage 11072000. However, summertime discharges would have been significantly affected by upstream diversions</w:t>
      </w:r>
      <w:r w:rsidR="00FB0FF5">
        <w:t>.</w:t>
      </w:r>
      <w:r>
        <w:t xml:space="preserve"> Figure 2-2 shows the daily discharge hydrograph for the 11072000 gage</w:t>
      </w:r>
      <w:r w:rsidR="00061923">
        <w:t>;</w:t>
      </w:r>
      <w:r w:rsidR="00061923" w:rsidRPr="00165E8C">
        <w:t xml:space="preserve"> </w:t>
      </w:r>
      <w:r w:rsidR="00061923">
        <w:t>t</w:t>
      </w:r>
      <w:r w:rsidR="00165E8C">
        <w:t>he daily discharge hydrograph shows extensive periods of near zero to zero discharge punctuated by relatively short periods of seasonal storm-water discharge.</w:t>
      </w:r>
      <w:r w:rsidR="00613777">
        <w:t xml:space="preserve"> </w:t>
      </w:r>
      <w:r>
        <w:t xml:space="preserve">Figure 2-3 is a flow duration curve for the daily discharge time series at the 11072000 gage and shows the probability that the daily discharge is less than or equal to a specified value. </w:t>
      </w:r>
      <w:r w:rsidR="00061923">
        <w:t xml:space="preserve">As </w:t>
      </w:r>
      <w:r>
        <w:t>the flow duration curve</w:t>
      </w:r>
      <w:r w:rsidR="00061923">
        <w:t xml:space="preserve"> shows</w:t>
      </w:r>
      <w:r>
        <w:t>, discharge is equal to zero cubic-feet per second (cfs) at least 62 percent of the time, is less than or equal to 1.0 cfs 73 percent of the time, is less than or equal to 10 cfs 94 percent of the time, and is less than or equal to 100 cfs 99 percent of the time. The maximum daily discharge observed at the gage was 3,460 cfs on March 2, 1938.</w:t>
      </w:r>
    </w:p>
    <w:p w14:paraId="587C6A69" w14:textId="3B7F53B3" w:rsidR="00EC5FAE" w:rsidRPr="00EC5FAE" w:rsidRDefault="00EC5FAE" w:rsidP="00EC5FAE">
      <w:pPr>
        <w:pStyle w:val="StyleBodyText12ptJustified"/>
      </w:pPr>
      <w:r>
        <w:t>Table 2-2 contains the monthly average discharge for the period of record and statistics to characterize discharge</w:t>
      </w:r>
      <w:r w:rsidR="00550C50">
        <w:t xml:space="preserve"> at the gage</w:t>
      </w:r>
      <w:r>
        <w:t xml:space="preserve">. Monthly discharge variability in the Temescal Wash for the time period 1929 to 1980 is characterized in Figure 2-4 as a box and whisker plot. Monthly discharge variability is important </w:t>
      </w:r>
      <w:r w:rsidR="00951E5A">
        <w:t xml:space="preserve">to </w:t>
      </w:r>
      <w:r>
        <w:t>understanding the availability of surface</w:t>
      </w:r>
      <w:r w:rsidR="00951E5A">
        <w:t>-</w:t>
      </w:r>
      <w:r>
        <w:t xml:space="preserve">water throughout the year and thus recharge throughout the year. </w:t>
      </w:r>
      <w:r w:rsidRPr="00EC5FAE">
        <w:t>The horizontal line across the box represents the median discharge</w:t>
      </w:r>
      <w:r w:rsidR="00FC4840">
        <w:t>,</w:t>
      </w:r>
      <w:r w:rsidRPr="00EC5FAE">
        <w:t xml:space="preserve"> whereas the bottom and top edges of the box mark the lower and upper quartiles</w:t>
      </w:r>
      <w:r w:rsidR="00FC4840">
        <w:t>,</w:t>
      </w:r>
      <w:r w:rsidRPr="00EC5FAE">
        <w:rPr>
          <w:vertAlign w:val="superscript"/>
        </w:rPr>
        <w:footnoteReference w:id="6"/>
      </w:r>
      <w:r w:rsidRPr="00EC5FAE">
        <w:rPr>
          <w:vertAlign w:val="superscript"/>
        </w:rPr>
        <w:t>,</w:t>
      </w:r>
      <w:r w:rsidRPr="00EC5FAE">
        <w:rPr>
          <w:vertAlign w:val="superscript"/>
        </w:rPr>
        <w:footnoteReference w:id="7"/>
      </w:r>
      <w:r w:rsidRPr="00EC5FAE">
        <w:t xml:space="preserve"> respectively. The upper and lower whiskers represent the minimum and maximum. The plot shows monthly discharge from the Temescal Wash varies seasonally with higher flows occurring between </w:t>
      </w:r>
      <w:r>
        <w:t>December</w:t>
      </w:r>
      <w:r w:rsidRPr="00EC5FAE">
        <w:t xml:space="preserve"> and April and lower flows occurring the rest of the year. </w:t>
      </w:r>
      <w:r w:rsidR="00FC4840">
        <w:t>The m</w:t>
      </w:r>
      <w:r w:rsidR="00FC4840" w:rsidRPr="00EC5FAE">
        <w:t xml:space="preserve">onthly </w:t>
      </w:r>
      <w:r w:rsidRPr="00EC5FAE">
        <w:t>median discharge range</w:t>
      </w:r>
      <w:r w:rsidR="00FC4840">
        <w:t>s</w:t>
      </w:r>
      <w:r w:rsidRPr="00EC5FAE">
        <w:t xml:space="preserve"> from zero </w:t>
      </w:r>
      <w:r>
        <w:t>cfs</w:t>
      </w:r>
      <w:r w:rsidRPr="00EC5FAE">
        <w:t xml:space="preserve"> during </w:t>
      </w:r>
      <w:r>
        <w:t>May through November</w:t>
      </w:r>
      <w:r w:rsidRPr="00EC5FAE">
        <w:t xml:space="preserve"> to about 9 cfs </w:t>
      </w:r>
      <w:r>
        <w:t>in February</w:t>
      </w:r>
      <w:r w:rsidRPr="00EC5FAE">
        <w:t xml:space="preserve">. </w:t>
      </w:r>
      <w:r w:rsidR="00550C50" w:rsidRPr="00550C50">
        <w:t xml:space="preserve">Average annual discharge is about 3.8 cfs or 2,780 acre-ft/yr. </w:t>
      </w:r>
      <w:r w:rsidR="00550C50">
        <w:t>For the period between</w:t>
      </w:r>
      <w:r w:rsidR="00550C50" w:rsidRPr="00550C50">
        <w:t xml:space="preserve"> December </w:t>
      </w:r>
      <w:r w:rsidR="00550C50">
        <w:t>and</w:t>
      </w:r>
      <w:r w:rsidR="00550C50" w:rsidRPr="00550C50">
        <w:t xml:space="preserve"> April</w:t>
      </w:r>
      <w:r w:rsidR="00550C50">
        <w:t>,</w:t>
      </w:r>
      <w:r w:rsidR="00550C50" w:rsidRPr="00550C50">
        <w:t xml:space="preserve"> the average discharge </w:t>
      </w:r>
      <w:r w:rsidR="00FC4840">
        <w:t>is</w:t>
      </w:r>
      <w:r w:rsidR="00FC4840" w:rsidRPr="00550C50">
        <w:t xml:space="preserve"> </w:t>
      </w:r>
      <w:r w:rsidR="00550C50" w:rsidRPr="00550C50">
        <w:t>about 7.5 cfs or about 2,260 acre-ft for the period. On average, about 80 percent of the discharge occurs between December and April</w:t>
      </w:r>
      <w:r w:rsidR="00550C50">
        <w:t>,</w:t>
      </w:r>
      <w:r w:rsidR="00550C50" w:rsidRPr="00550C50">
        <w:t xml:space="preserve"> suggesting that most of the recharge occurs during </w:t>
      </w:r>
      <w:r w:rsidR="00550C50">
        <w:t>these months</w:t>
      </w:r>
      <w:r w:rsidR="00550C50" w:rsidRPr="00550C50">
        <w:t>.</w:t>
      </w:r>
    </w:p>
    <w:p w14:paraId="0E744A70" w14:textId="343B711E" w:rsidR="00550C50" w:rsidRPr="00550C50" w:rsidRDefault="00550C50" w:rsidP="00550C50">
      <w:pPr>
        <w:pStyle w:val="StyleBodyText12ptJustified"/>
        <w:rPr>
          <w:color w:val="auto"/>
          <w:szCs w:val="22"/>
        </w:rPr>
      </w:pPr>
      <w:r w:rsidRPr="00550C50">
        <w:rPr>
          <w:color w:val="auto"/>
          <w:szCs w:val="22"/>
        </w:rPr>
        <w:t>Currently, there are no surface-water monitoring programs to</w:t>
      </w:r>
      <w:r w:rsidR="00507463">
        <w:rPr>
          <w:color w:val="auto"/>
          <w:szCs w:val="22"/>
        </w:rPr>
        <w:t xml:space="preserve"> measure discharge or to assess </w:t>
      </w:r>
      <w:r w:rsidRPr="00550C50">
        <w:rPr>
          <w:color w:val="auto"/>
          <w:szCs w:val="22"/>
        </w:rPr>
        <w:t>surface-water quality within the Bedford Basin. This is a</w:t>
      </w:r>
      <w:r w:rsidR="00FC4840">
        <w:rPr>
          <w:color w:val="auto"/>
          <w:szCs w:val="22"/>
        </w:rPr>
        <w:t xml:space="preserve"> significant</w:t>
      </w:r>
      <w:r w:rsidRPr="00550C50">
        <w:rPr>
          <w:color w:val="auto"/>
          <w:szCs w:val="22"/>
        </w:rPr>
        <w:t xml:space="preserve"> limitation to characterizing how surface-water discharge and water quality </w:t>
      </w:r>
      <w:r w:rsidR="00FC4840" w:rsidRPr="00550C50">
        <w:rPr>
          <w:color w:val="auto"/>
          <w:szCs w:val="22"/>
        </w:rPr>
        <w:t>ha</w:t>
      </w:r>
      <w:r w:rsidR="00FC4840">
        <w:rPr>
          <w:color w:val="auto"/>
          <w:szCs w:val="22"/>
        </w:rPr>
        <w:t>ve</w:t>
      </w:r>
      <w:r w:rsidR="00FC4840" w:rsidRPr="00550C50">
        <w:rPr>
          <w:color w:val="auto"/>
          <w:szCs w:val="22"/>
        </w:rPr>
        <w:t xml:space="preserve"> </w:t>
      </w:r>
      <w:r w:rsidRPr="00550C50">
        <w:rPr>
          <w:color w:val="auto"/>
          <w:szCs w:val="22"/>
        </w:rPr>
        <w:t>changed with the conversion of land use from predominately agricultural uses to urban uses and how these changes affect the yield and water quality of the basin.</w:t>
      </w:r>
    </w:p>
    <w:p w14:paraId="028000F3" w14:textId="21B3B511" w:rsidR="009F3350" w:rsidRDefault="00B74E3B" w:rsidP="00171A78">
      <w:pPr>
        <w:pStyle w:val="Heading3"/>
      </w:pPr>
      <w:bookmarkStart w:id="16" w:name="_Toc427921412"/>
      <w:r>
        <w:t>Dry-</w:t>
      </w:r>
      <w:r w:rsidR="00AB7388">
        <w:t xml:space="preserve">Weather </w:t>
      </w:r>
      <w:r>
        <w:t>Runoff</w:t>
      </w:r>
      <w:bookmarkEnd w:id="16"/>
    </w:p>
    <w:p w14:paraId="03B117EA" w14:textId="3A84F0F1" w:rsidR="00CB0E68" w:rsidRDefault="004F4221" w:rsidP="00D75382">
      <w:pPr>
        <w:pStyle w:val="StyleBodyText12ptJustified"/>
      </w:pPr>
      <w:r>
        <w:t>Historical and current land use</w:t>
      </w:r>
      <w:r w:rsidR="00BE5E59">
        <w:t>s</w:t>
      </w:r>
      <w:r>
        <w:t xml:space="preserve"> in the Bedford Basin i</w:t>
      </w:r>
      <w:r w:rsidR="002C728B">
        <w:t>nclude</w:t>
      </w:r>
      <w:r w:rsidR="00AB7388">
        <w:t>:</w:t>
      </w:r>
      <w:r w:rsidR="002C728B">
        <w:t xml:space="preserve"> </w:t>
      </w:r>
      <w:r w:rsidR="00AB7388">
        <w:t xml:space="preserve">agricultural, </w:t>
      </w:r>
      <w:r w:rsidR="002C728B">
        <w:t xml:space="preserve">residential, commercial, </w:t>
      </w:r>
      <w:r>
        <w:t xml:space="preserve">industrial, mining, open-space recreational (e.g. parks and golf courses), and </w:t>
      </w:r>
      <w:r w:rsidR="009F1CED">
        <w:t>undeveloped natural conditions</w:t>
      </w:r>
      <w:r>
        <w:t xml:space="preserve">. </w:t>
      </w:r>
      <w:r w:rsidR="00093654">
        <w:t xml:space="preserve">Irrigation </w:t>
      </w:r>
      <w:r w:rsidR="002D50F5">
        <w:t>and other applied water can result in</w:t>
      </w:r>
      <w:r w:rsidR="008A06A7">
        <w:t xml:space="preserve"> groundwater recharge and</w:t>
      </w:r>
      <w:r w:rsidR="00ED6A3B">
        <w:t xml:space="preserve"> </w:t>
      </w:r>
      <w:r w:rsidR="00CB0E68">
        <w:t>runoff</w:t>
      </w:r>
      <w:r w:rsidR="00AB7388">
        <w:t xml:space="preserve"> to storm drains and stream channels</w:t>
      </w:r>
      <w:r w:rsidR="00CB0E68">
        <w:t>.</w:t>
      </w:r>
      <w:r w:rsidR="00D17064">
        <w:t xml:space="preserve"> </w:t>
      </w:r>
      <w:r w:rsidR="00FC4840">
        <w:t>At present, d</w:t>
      </w:r>
      <w:r w:rsidR="00FC4840" w:rsidRPr="00692231">
        <w:t>ry</w:t>
      </w:r>
      <w:r w:rsidR="008C31A1" w:rsidRPr="00692231">
        <w:t>-weather runoff cannot be quantified due to a lack of surfac</w:t>
      </w:r>
      <w:r w:rsidR="00DF7CD6" w:rsidRPr="00692231">
        <w:t>e-</w:t>
      </w:r>
      <w:r w:rsidR="008C31A1" w:rsidRPr="00692231">
        <w:t>water monitoring.</w:t>
      </w:r>
      <w:r w:rsidR="008C31A1">
        <w:t xml:space="preserve"> </w:t>
      </w:r>
    </w:p>
    <w:p w14:paraId="3BEF10E0" w14:textId="7E705390" w:rsidR="0056341B" w:rsidRDefault="00507463" w:rsidP="00171A78">
      <w:pPr>
        <w:pStyle w:val="Heading3"/>
      </w:pPr>
      <w:bookmarkStart w:id="17" w:name="_Toc427921413"/>
      <w:r>
        <w:t>Groundwater – Surface</w:t>
      </w:r>
      <w:r w:rsidR="00B42D38">
        <w:t>-w</w:t>
      </w:r>
      <w:r>
        <w:t>ater Interaction</w:t>
      </w:r>
      <w:bookmarkEnd w:id="17"/>
    </w:p>
    <w:p w14:paraId="5C2644D6" w14:textId="3398AED5" w:rsidR="004C290E" w:rsidRDefault="00A357FD" w:rsidP="00B502DC">
      <w:pPr>
        <w:pStyle w:val="StyleBodyText12ptJustified"/>
        <w:sectPr w:rsidR="004C290E" w:rsidSect="004D1467">
          <w:headerReference w:type="even" r:id="rId23"/>
          <w:headerReference w:type="default" r:id="rId24"/>
          <w:headerReference w:type="first" r:id="rId25"/>
          <w:footerReference w:type="first" r:id="rId26"/>
          <w:pgSz w:w="12240" w:h="15840" w:code="1"/>
          <w:pgMar w:top="1138" w:right="1728" w:bottom="1440" w:left="1728" w:header="864" w:footer="864" w:gutter="0"/>
          <w:pgNumType w:start="1" w:chapStyle="1"/>
          <w:cols w:space="720"/>
          <w:titlePg/>
        </w:sectPr>
      </w:pPr>
      <w:r>
        <w:rPr>
          <w:szCs w:val="22"/>
        </w:rPr>
        <w:t xml:space="preserve">The Bedford Basin is a relatively </w:t>
      </w:r>
      <w:r w:rsidR="00251568">
        <w:rPr>
          <w:szCs w:val="22"/>
        </w:rPr>
        <w:t>na</w:t>
      </w:r>
      <w:r>
        <w:rPr>
          <w:szCs w:val="22"/>
        </w:rPr>
        <w:t xml:space="preserve">rrow and shallow groundwater basin. Because of this, </w:t>
      </w:r>
      <w:r w:rsidR="008C31A1">
        <w:rPr>
          <w:szCs w:val="22"/>
        </w:rPr>
        <w:t xml:space="preserve">there are reaches </w:t>
      </w:r>
      <w:r w:rsidR="00DF7CD6">
        <w:rPr>
          <w:szCs w:val="22"/>
        </w:rPr>
        <w:t>along the</w:t>
      </w:r>
      <w:r w:rsidR="008C31A1">
        <w:rPr>
          <w:szCs w:val="22"/>
        </w:rPr>
        <w:t xml:space="preserve"> Temescal </w:t>
      </w:r>
      <w:r w:rsidR="00DF7CD6">
        <w:rPr>
          <w:szCs w:val="22"/>
        </w:rPr>
        <w:t>W</w:t>
      </w:r>
      <w:r w:rsidR="008C31A1">
        <w:rPr>
          <w:szCs w:val="22"/>
        </w:rPr>
        <w:t xml:space="preserve">ash where rising groundwater discharges </w:t>
      </w:r>
      <w:r w:rsidR="00FC4840">
        <w:rPr>
          <w:szCs w:val="22"/>
        </w:rPr>
        <w:t>to the</w:t>
      </w:r>
      <w:r w:rsidR="00613777">
        <w:rPr>
          <w:szCs w:val="22"/>
        </w:rPr>
        <w:t xml:space="preserve"> </w:t>
      </w:r>
      <w:r w:rsidR="008C31A1">
        <w:rPr>
          <w:szCs w:val="22"/>
        </w:rPr>
        <w:t xml:space="preserve">Temescal Wash and other reaches where Temescal Wash discharge recharges the </w:t>
      </w:r>
      <w:r w:rsidR="00DF7CD6">
        <w:rPr>
          <w:szCs w:val="22"/>
        </w:rPr>
        <w:t xml:space="preserve">groundwater </w:t>
      </w:r>
      <w:r w:rsidR="008C31A1">
        <w:rPr>
          <w:szCs w:val="22"/>
        </w:rPr>
        <w:t xml:space="preserve">basin. This interaction can be seasonal or persistent due to wet or dry periods and groundwater </w:t>
      </w:r>
      <w:r w:rsidR="00DF7CD6">
        <w:rPr>
          <w:szCs w:val="22"/>
        </w:rPr>
        <w:t xml:space="preserve">production. </w:t>
      </w:r>
      <w:r w:rsidR="008C31A1">
        <w:rPr>
          <w:szCs w:val="22"/>
        </w:rPr>
        <w:t xml:space="preserve">Rising groundwater is known to occur </w:t>
      </w:r>
      <w:r>
        <w:rPr>
          <w:szCs w:val="22"/>
        </w:rPr>
        <w:t>in areas near bedrock constrictions</w:t>
      </w:r>
      <w:r w:rsidR="008C31A1">
        <w:rPr>
          <w:szCs w:val="22"/>
        </w:rPr>
        <w:t xml:space="preserve"> such as </w:t>
      </w:r>
      <w:r w:rsidR="00CE143A">
        <w:rPr>
          <w:szCs w:val="22"/>
        </w:rPr>
        <w:t>at the boundary between the Lee Lake and Bedford Basins near the Gregory wells and at the boundary between the Bedford and Temescal Basins just</w:t>
      </w:r>
      <w:r w:rsidR="006D61BD">
        <w:rPr>
          <w:szCs w:val="22"/>
        </w:rPr>
        <w:t xml:space="preserve"> </w:t>
      </w:r>
      <w:r w:rsidR="00CE143A">
        <w:rPr>
          <w:szCs w:val="22"/>
        </w:rPr>
        <w:t>upstream of the Flagler wells</w:t>
      </w:r>
      <w:r w:rsidRPr="00CE143A">
        <w:rPr>
          <w:szCs w:val="22"/>
        </w:rPr>
        <w:t>.</w:t>
      </w:r>
      <w:r w:rsidR="00B502DC">
        <w:rPr>
          <w:szCs w:val="22"/>
        </w:rPr>
        <w:t xml:space="preserve"> </w:t>
      </w:r>
      <w:r w:rsidR="005B577E">
        <w:rPr>
          <w:szCs w:val="22"/>
        </w:rPr>
        <w:t xml:space="preserve">The significance of </w:t>
      </w:r>
      <w:r w:rsidR="00507463">
        <w:rPr>
          <w:szCs w:val="22"/>
        </w:rPr>
        <w:t>groundwater-surface</w:t>
      </w:r>
      <w:r w:rsidR="00B42D38">
        <w:rPr>
          <w:szCs w:val="22"/>
        </w:rPr>
        <w:t>-</w:t>
      </w:r>
      <w:r w:rsidR="00024F18">
        <w:rPr>
          <w:szCs w:val="22"/>
        </w:rPr>
        <w:t>w</w:t>
      </w:r>
      <w:r w:rsidR="00507463">
        <w:rPr>
          <w:szCs w:val="22"/>
        </w:rPr>
        <w:t>ater intera</w:t>
      </w:r>
      <w:r w:rsidR="00024F18">
        <w:rPr>
          <w:szCs w:val="22"/>
        </w:rPr>
        <w:t>ction</w:t>
      </w:r>
      <w:r w:rsidR="005B577E">
        <w:rPr>
          <w:szCs w:val="22"/>
        </w:rPr>
        <w:t xml:space="preserve"> cannot be</w:t>
      </w:r>
      <w:r w:rsidR="0042216D">
        <w:rPr>
          <w:szCs w:val="22"/>
        </w:rPr>
        <w:t xml:space="preserve"> assessed in the Phase 1 effort due to a lack of data.</w:t>
      </w:r>
      <w:r w:rsidR="00B502DC">
        <w:rPr>
          <w:szCs w:val="22"/>
        </w:rPr>
        <w:t xml:space="preserve"> </w:t>
      </w:r>
      <w:r w:rsidR="0042216D">
        <w:rPr>
          <w:szCs w:val="22"/>
        </w:rPr>
        <w:t xml:space="preserve">Characterizing rising water as a function of groundwater levels would provide </w:t>
      </w:r>
      <w:r w:rsidR="00BF044B">
        <w:rPr>
          <w:szCs w:val="22"/>
        </w:rPr>
        <w:t>the Agencies</w:t>
      </w:r>
      <w:r w:rsidR="0042216D">
        <w:rPr>
          <w:szCs w:val="22"/>
        </w:rPr>
        <w:t xml:space="preserve"> with a basin management tool that would help them maximize the yield of the basin. For example</w:t>
      </w:r>
      <w:r w:rsidR="007B26B6">
        <w:rPr>
          <w:szCs w:val="22"/>
        </w:rPr>
        <w:t>,</w:t>
      </w:r>
      <w:r w:rsidR="0042216D">
        <w:rPr>
          <w:szCs w:val="22"/>
        </w:rPr>
        <w:t xml:space="preserve"> </w:t>
      </w:r>
      <w:r w:rsidR="00BF044B">
        <w:rPr>
          <w:szCs w:val="22"/>
        </w:rPr>
        <w:t>the Agencies</w:t>
      </w:r>
      <w:r w:rsidR="00D4179C">
        <w:rPr>
          <w:szCs w:val="22"/>
        </w:rPr>
        <w:t xml:space="preserve"> </w:t>
      </w:r>
      <w:r w:rsidR="0042216D">
        <w:rPr>
          <w:szCs w:val="22"/>
        </w:rPr>
        <w:t xml:space="preserve">could use numerical </w:t>
      </w:r>
      <w:r w:rsidR="00736398">
        <w:rPr>
          <w:szCs w:val="22"/>
        </w:rPr>
        <w:t xml:space="preserve">tools within a groundwater model to develop a </w:t>
      </w:r>
      <w:r w:rsidR="0042216D">
        <w:rPr>
          <w:szCs w:val="22"/>
        </w:rPr>
        <w:t xml:space="preserve">relationship equating rising groundwater discharge to groundwater levels </w:t>
      </w:r>
      <w:r w:rsidR="006A332F">
        <w:rPr>
          <w:szCs w:val="22"/>
        </w:rPr>
        <w:t>to groundwater</w:t>
      </w:r>
      <w:r w:rsidR="0042216D">
        <w:rPr>
          <w:szCs w:val="22"/>
        </w:rPr>
        <w:t xml:space="preserve"> production </w:t>
      </w:r>
      <w:r w:rsidR="00D4179C">
        <w:rPr>
          <w:szCs w:val="22"/>
        </w:rPr>
        <w:t xml:space="preserve">rates </w:t>
      </w:r>
      <w:r w:rsidR="0042216D">
        <w:rPr>
          <w:szCs w:val="22"/>
        </w:rPr>
        <w:t xml:space="preserve">to </w:t>
      </w:r>
      <w:r w:rsidR="006A332F">
        <w:rPr>
          <w:szCs w:val="22"/>
        </w:rPr>
        <w:t xml:space="preserve">help </w:t>
      </w:r>
      <w:r w:rsidR="0042216D">
        <w:rPr>
          <w:szCs w:val="22"/>
        </w:rPr>
        <w:t xml:space="preserve">increase </w:t>
      </w:r>
      <w:r w:rsidR="006A332F">
        <w:rPr>
          <w:szCs w:val="22"/>
        </w:rPr>
        <w:t xml:space="preserve">the </w:t>
      </w:r>
      <w:r w:rsidR="0042216D">
        <w:rPr>
          <w:szCs w:val="22"/>
        </w:rPr>
        <w:t xml:space="preserve">yield </w:t>
      </w:r>
      <w:r w:rsidR="006A332F">
        <w:rPr>
          <w:szCs w:val="22"/>
        </w:rPr>
        <w:t xml:space="preserve">of the basin </w:t>
      </w:r>
      <w:r w:rsidR="0042216D">
        <w:rPr>
          <w:szCs w:val="22"/>
        </w:rPr>
        <w:t xml:space="preserve">by </w:t>
      </w:r>
      <w:r w:rsidR="007B26B6">
        <w:rPr>
          <w:szCs w:val="22"/>
        </w:rPr>
        <w:t>decreasing</w:t>
      </w:r>
      <w:r w:rsidR="0042216D">
        <w:rPr>
          <w:szCs w:val="22"/>
        </w:rPr>
        <w:t xml:space="preserve"> </w:t>
      </w:r>
      <w:r w:rsidR="00D4179C">
        <w:rPr>
          <w:szCs w:val="22"/>
        </w:rPr>
        <w:t>rising groundwater</w:t>
      </w:r>
      <w:r w:rsidR="006A332F">
        <w:rPr>
          <w:szCs w:val="22"/>
        </w:rPr>
        <w:t xml:space="preserve"> discharge</w:t>
      </w:r>
      <w:r w:rsidR="0042216D">
        <w:rPr>
          <w:szCs w:val="22"/>
        </w:rPr>
        <w:t>.</w:t>
      </w:r>
      <w:r w:rsidR="00B502DC">
        <w:rPr>
          <w:szCs w:val="22"/>
        </w:rPr>
        <w:t xml:space="preserve"> </w:t>
      </w:r>
      <w:r w:rsidR="00B42D38">
        <w:rPr>
          <w:szCs w:val="22"/>
        </w:rPr>
        <w:t>Groundwater and surface-water monitoring are required to develop this relationship. Developing a groundwater and surface-water monitoring program is important as t</w:t>
      </w:r>
      <w:r w:rsidR="00024F18">
        <w:rPr>
          <w:szCs w:val="22"/>
        </w:rPr>
        <w:t>he SGMA includes a regulatory requirement regarding groundwater</w:t>
      </w:r>
      <w:r w:rsidR="00B42D38">
        <w:rPr>
          <w:szCs w:val="22"/>
        </w:rPr>
        <w:t xml:space="preserve"> and </w:t>
      </w:r>
      <w:r w:rsidR="00024F18">
        <w:rPr>
          <w:szCs w:val="22"/>
        </w:rPr>
        <w:t>surface water</w:t>
      </w:r>
      <w:r w:rsidR="00B42D38">
        <w:rPr>
          <w:szCs w:val="22"/>
        </w:rPr>
        <w:t>-</w:t>
      </w:r>
      <w:r w:rsidR="00024F18">
        <w:rPr>
          <w:szCs w:val="22"/>
        </w:rPr>
        <w:t>interaction.</w:t>
      </w:r>
      <w:r w:rsidR="00613777">
        <w:rPr>
          <w:szCs w:val="22"/>
        </w:rPr>
        <w:t xml:space="preserve"> </w:t>
      </w:r>
    </w:p>
    <w:p w14:paraId="432BBCBA" w14:textId="77777777" w:rsidR="00F42047" w:rsidRPr="007B7186" w:rsidRDefault="00F42047" w:rsidP="00D75382">
      <w:pPr>
        <w:pStyle w:val="Heading1"/>
        <w:pBdr>
          <w:bottom w:val="none" w:sz="0" w:space="0" w:color="auto"/>
        </w:pBdr>
      </w:pPr>
      <w:bookmarkStart w:id="18" w:name="_Toc427921414"/>
      <w:r>
        <w:t>–</w:t>
      </w:r>
      <w:r w:rsidR="00344CEB">
        <w:rPr>
          <w:sz w:val="28"/>
        </w:rPr>
        <w:t>Hydrogeology</w:t>
      </w:r>
      <w:bookmarkEnd w:id="18"/>
    </w:p>
    <w:p w14:paraId="7FF4167D" w14:textId="77777777" w:rsidR="002E2C47" w:rsidRDefault="00E3041E" w:rsidP="00D75382">
      <w:pPr>
        <w:pStyle w:val="Heading2"/>
      </w:pPr>
      <w:bookmarkStart w:id="19" w:name="_Toc427921415"/>
      <w:r>
        <w:t>Geologic Setting</w:t>
      </w:r>
      <w:bookmarkEnd w:id="19"/>
    </w:p>
    <w:p w14:paraId="520FC154" w14:textId="77777777" w:rsidR="002E2C47" w:rsidRPr="009F688E" w:rsidRDefault="00703106" w:rsidP="00D75382">
      <w:pPr>
        <w:pStyle w:val="StyleBodyText12ptJustified"/>
      </w:pPr>
      <w:r>
        <w:t>The Bedford Basin is located</w:t>
      </w:r>
      <w:r w:rsidR="001554D3">
        <w:t xml:space="preserve"> in the </w:t>
      </w:r>
      <w:r w:rsidR="001554D3" w:rsidRPr="004D0D25">
        <w:t xml:space="preserve">northern part of the Peninsular Ranges along the Elsinore Fault Zone within the Upper Temescal Valley (Figure </w:t>
      </w:r>
      <w:r w:rsidR="005863E7" w:rsidRPr="004D0D25">
        <w:t>3</w:t>
      </w:r>
      <w:r w:rsidR="001554D3" w:rsidRPr="004D0D25">
        <w:t>-</w:t>
      </w:r>
      <w:r w:rsidR="005863E7" w:rsidRPr="004D0D25">
        <w:t>1</w:t>
      </w:r>
      <w:r w:rsidR="001554D3" w:rsidRPr="004D0D25">
        <w:t>).</w:t>
      </w:r>
      <w:r w:rsidR="001554D3">
        <w:t xml:space="preserve"> The active Elsinore Fault Zone separates the Santa Ana Mountains to the west from the Perris Block to the east </w:t>
      </w:r>
      <w:r w:rsidR="001554D3" w:rsidRPr="00710F16">
        <w:t>(Morton and Weber, 2003).</w:t>
      </w:r>
      <w:r w:rsidR="001554D3">
        <w:t xml:space="preserve"> The El Sobrante de San Jacinto is a bedrock plateau that forms the western edge of the Perris Block. Within the Bedford Basin, the structure of the Upper Temescal Valley is a complex graben formed by a system of northwest trending high-angle </w:t>
      </w:r>
      <w:r w:rsidR="001554D3" w:rsidRPr="00710F16">
        <w:t>faults (Engel, 1959). Duri</w:t>
      </w:r>
      <w:r w:rsidR="00F8649C">
        <w:t>ng Plio-Pleistocene time, uplif</w:t>
      </w:r>
      <w:r w:rsidR="001554D3" w:rsidRPr="00710F16">
        <w:t>t and tilting along the Elsinore Fault Zone likely provided the initial course for the Temescal Creek to begin eroding the adjacent mountain and hill sediments (Gray, 1961).</w:t>
      </w:r>
      <w:r w:rsidR="00955E50" w:rsidRPr="00710F16">
        <w:t xml:space="preserve"> Se</w:t>
      </w:r>
      <w:r w:rsidR="00955E50">
        <w:t>diments eroded from the adjacent mountains have filled the valley to form shallow groundwater reservoirs.</w:t>
      </w:r>
    </w:p>
    <w:p w14:paraId="4178A089" w14:textId="77777777" w:rsidR="002E2C47" w:rsidRDefault="00E3041E" w:rsidP="00D75382">
      <w:pPr>
        <w:pStyle w:val="Heading2"/>
      </w:pPr>
      <w:bookmarkStart w:id="20" w:name="_Toc427921416"/>
      <w:r>
        <w:t>Stratigraphy</w:t>
      </w:r>
      <w:bookmarkEnd w:id="20"/>
    </w:p>
    <w:p w14:paraId="4BB38C9F" w14:textId="2CD0A64F" w:rsidR="00BA1FCA" w:rsidRDefault="001554D3" w:rsidP="00BA1FCA">
      <w:pPr>
        <w:pStyle w:val="StyleBodyText12ptJustified"/>
      </w:pPr>
      <w:r w:rsidRPr="004D0D25">
        <w:t xml:space="preserve">Figure </w:t>
      </w:r>
      <w:r w:rsidR="005863E7" w:rsidRPr="004D0D25">
        <w:t>3</w:t>
      </w:r>
      <w:r w:rsidRPr="004D0D25">
        <w:t>-</w:t>
      </w:r>
      <w:r w:rsidR="005863E7" w:rsidRPr="004D0D25">
        <w:t>1</w:t>
      </w:r>
      <w:r w:rsidRPr="007E61D3">
        <w:t xml:space="preserve"> shows the general surface geology </w:t>
      </w:r>
      <w:r w:rsidR="00BA1FCA">
        <w:t xml:space="preserve">in the vicinity </w:t>
      </w:r>
      <w:r w:rsidRPr="007E61D3">
        <w:t xml:space="preserve">of the Bedford Basin. The </w:t>
      </w:r>
      <w:r w:rsidR="00BA1FCA">
        <w:t>stratigraphy of this area is divided into two natural divisions: (1) the pervious formations that comprise the groundwater reservoir are termed the “water-bearing sediments</w:t>
      </w:r>
      <w:r w:rsidR="00EC0182">
        <w:t>,</w:t>
      </w:r>
      <w:r w:rsidR="00BA1FCA">
        <w:t>” and (2) the impermeable formations that enclose the groundwater reservoirs are termed “consolidated bedrock.”</w:t>
      </w:r>
      <w:r w:rsidR="00ED6A3B">
        <w:t xml:space="preserve"> </w:t>
      </w:r>
      <w:r w:rsidR="00BA1FCA">
        <w:t xml:space="preserve">The water-bearing sediments overlie the consolidated bedrock, with the bedrock formations </w:t>
      </w:r>
      <w:r w:rsidR="008904F6">
        <w:t>exposed at</w:t>
      </w:r>
      <w:r w:rsidR="00BA1FCA">
        <w:t xml:space="preserve"> the surface </w:t>
      </w:r>
      <w:r w:rsidR="008904F6">
        <w:t xml:space="preserve">as </w:t>
      </w:r>
      <w:r w:rsidR="00BA1FCA">
        <w:t>the surrounding hills and mountains.</w:t>
      </w:r>
    </w:p>
    <w:p w14:paraId="42269C55" w14:textId="77777777" w:rsidR="002E2C47" w:rsidRPr="007E61D3" w:rsidRDefault="00BA1FCA" w:rsidP="00BA1FCA">
      <w:pPr>
        <w:pStyle w:val="StyleBodyText12ptJustified"/>
      </w:pPr>
      <w:r>
        <w:t>The terms used in this report to describe bedrock, such as “consolidated,” “non-water-bearing,” and “impermeable,” are used in a relative sense. The water content and permeability of these bedrock formations, in fact, is not zero. However, the primary point is that the permeability of the bedrock formations flanking and underlying the groundwater basin is much less than the aquifer sediments within the basin.</w:t>
      </w:r>
    </w:p>
    <w:p w14:paraId="5E484A49" w14:textId="77777777" w:rsidR="00814627" w:rsidRDefault="007E61D3" w:rsidP="00171A78">
      <w:pPr>
        <w:pStyle w:val="Heading3"/>
      </w:pPr>
      <w:bookmarkStart w:id="21" w:name="_Toc427921417"/>
      <w:r>
        <w:t>Consolidated Bedrock</w:t>
      </w:r>
      <w:bookmarkEnd w:id="21"/>
    </w:p>
    <w:p w14:paraId="1656B175" w14:textId="5CE3069F" w:rsidR="00A82014" w:rsidRPr="004D0D25" w:rsidRDefault="007E61D3" w:rsidP="00400E66">
      <w:pPr>
        <w:pStyle w:val="StyleBodyText12ptJustified"/>
      </w:pPr>
      <w:r>
        <w:t>The consolidated bedrock formations consist primarily of Tertiary</w:t>
      </w:r>
      <w:r w:rsidR="0051242E">
        <w:rPr>
          <w:rStyle w:val="FootnoteReference"/>
        </w:rPr>
        <w:footnoteReference w:id="8"/>
      </w:r>
      <w:r>
        <w:t xml:space="preserve"> sedimentary units and Cretaceous</w:t>
      </w:r>
      <w:r w:rsidR="0051242E">
        <w:rPr>
          <w:rStyle w:val="FootnoteReference"/>
        </w:rPr>
        <w:footnoteReference w:id="9"/>
      </w:r>
      <w:r>
        <w:t xml:space="preserve"> and pre-Cretaceous</w:t>
      </w:r>
      <w:r w:rsidR="0051242E">
        <w:rPr>
          <w:rStyle w:val="FootnoteReference"/>
        </w:rPr>
        <w:footnoteReference w:id="10"/>
      </w:r>
      <w:r>
        <w:t xml:space="preserve"> volcanic, intrusive, and metamorphic units. </w:t>
      </w:r>
      <w:r w:rsidR="008A4671">
        <w:t xml:space="preserve">The consolidated bedrock formations outcrop as </w:t>
      </w:r>
      <w:r w:rsidR="00CF316C">
        <w:t xml:space="preserve">the surrounding hills and </w:t>
      </w:r>
      <w:r w:rsidR="00CF316C" w:rsidRPr="004D0D25">
        <w:t>mountains (</w:t>
      </w:r>
      <w:r w:rsidR="008A4671" w:rsidRPr="004D0D25">
        <w:t>Figure 3-1</w:t>
      </w:r>
      <w:r w:rsidR="00CF316C" w:rsidRPr="004D0D25">
        <w:t>)</w:t>
      </w:r>
      <w:r w:rsidR="008A4671" w:rsidRPr="004D0D25">
        <w:t>.</w:t>
      </w:r>
    </w:p>
    <w:p w14:paraId="16E28E4D" w14:textId="3F1C046F" w:rsidR="002C7782" w:rsidRPr="00F015FF" w:rsidRDefault="00A82014" w:rsidP="00400E66">
      <w:pPr>
        <w:pStyle w:val="StyleBodyText12ptJustified"/>
      </w:pPr>
      <w:r w:rsidRPr="004D0D25">
        <w:t>The consolidated bedrock formations occur at depth underlying the water-bearing sediments of the Bedford Basin and act as the effective base of the freshwater aquifer. Herein, the effective base of the freshwater aquifer is referred to as the “bottom of the aquifer.”</w:t>
      </w:r>
      <w:r w:rsidR="00ED6A3B" w:rsidRPr="004D0D25">
        <w:t xml:space="preserve"> </w:t>
      </w:r>
      <w:r w:rsidRPr="004D0D25">
        <w:t>Figure 3</w:t>
      </w:r>
      <w:r w:rsidRPr="00F015FF">
        <w:t xml:space="preserve">-2 is a map of the </w:t>
      </w:r>
      <w:r w:rsidRPr="00BA1FCA">
        <w:t xml:space="preserve">bottom </w:t>
      </w:r>
      <w:r w:rsidRPr="00F015FF">
        <w:t xml:space="preserve">of the aquifer in the Bedford Basin </w:t>
      </w:r>
      <w:r w:rsidR="001400B8">
        <w:t>and</w:t>
      </w:r>
      <w:r w:rsidR="001400B8" w:rsidRPr="00F015FF">
        <w:t xml:space="preserve"> </w:t>
      </w:r>
      <w:r w:rsidRPr="00F015FF">
        <w:t>shows contours of equal depth to the buried contact between the water-bearing sediments and the consolidated bedrock formations. These contours were drawn from the lithologic descriptions recorded on well driller’s reports obtained from the DWR and the Temescal Water Company</w:t>
      </w:r>
      <w:r>
        <w:t xml:space="preserve">, and </w:t>
      </w:r>
      <w:r w:rsidR="001400B8">
        <w:t xml:space="preserve">they </w:t>
      </w:r>
      <w:r>
        <w:t>represent</w:t>
      </w:r>
      <w:r w:rsidRPr="00BD7B53">
        <w:t xml:space="preserve"> </w:t>
      </w:r>
      <w:r>
        <w:t>a</w:t>
      </w:r>
      <w:r w:rsidRPr="00144FBA">
        <w:t xml:space="preserve"> best estimate of the configuration of the </w:t>
      </w:r>
      <w:r w:rsidR="001400B8">
        <w:t xml:space="preserve">aquifer </w:t>
      </w:r>
      <w:r w:rsidRPr="00144FBA">
        <w:t xml:space="preserve">bottom based on available well </w:t>
      </w:r>
      <w:r>
        <w:t>lithologic</w:t>
      </w:r>
      <w:r w:rsidRPr="00144FBA">
        <w:t xml:space="preserve"> data</w:t>
      </w:r>
      <w:r>
        <w:t xml:space="preserve"> and interpretation</w:t>
      </w:r>
      <w:r w:rsidRPr="00F015FF">
        <w:t xml:space="preserve">. For visualization, </w:t>
      </w:r>
      <w:r w:rsidRPr="004D0D25">
        <w:t>Figure 3-2</w:t>
      </w:r>
      <w:r w:rsidRPr="00F015FF">
        <w:t xml:space="preserve"> also shows a colored raster of </w:t>
      </w:r>
      <w:r w:rsidR="001400B8">
        <w:t xml:space="preserve">the </w:t>
      </w:r>
      <w:r w:rsidRPr="00F015FF">
        <w:t>depth to the bottom of the aquifer.</w:t>
      </w:r>
    </w:p>
    <w:p w14:paraId="0C79EDAD" w14:textId="77777777" w:rsidR="00BD7B53" w:rsidRDefault="00BD7B53" w:rsidP="00171A78">
      <w:pPr>
        <w:pStyle w:val="Heading3"/>
      </w:pPr>
      <w:bookmarkStart w:id="22" w:name="_Toc427921418"/>
      <w:r>
        <w:t>Water-Bearing Sediments</w:t>
      </w:r>
      <w:bookmarkEnd w:id="22"/>
    </w:p>
    <w:p w14:paraId="3C9FC730" w14:textId="4A5E674A" w:rsidR="00A82014" w:rsidRDefault="007E61D3" w:rsidP="00F8649C">
      <w:pPr>
        <w:spacing w:after="200" w:line="240" w:lineRule="auto"/>
        <w:rPr>
          <w:rFonts w:asciiTheme="majorHAnsi" w:hAnsiTheme="majorHAnsi"/>
        </w:rPr>
      </w:pPr>
      <w:r w:rsidRPr="007E61D3">
        <w:rPr>
          <w:rFonts w:asciiTheme="majorHAnsi" w:hAnsiTheme="majorHAnsi"/>
        </w:rPr>
        <w:t>The water-bearing sedi</w:t>
      </w:r>
      <w:r w:rsidR="00A82014">
        <w:rPr>
          <w:rFonts w:asciiTheme="majorHAnsi" w:hAnsiTheme="majorHAnsi"/>
        </w:rPr>
        <w:t>ments consist of Quaternary</w:t>
      </w:r>
      <w:r w:rsidR="0051242E">
        <w:rPr>
          <w:rStyle w:val="FootnoteReference"/>
          <w:rFonts w:asciiTheme="majorHAnsi" w:hAnsiTheme="majorHAnsi"/>
        </w:rPr>
        <w:footnoteReference w:id="11"/>
      </w:r>
      <w:r w:rsidRPr="007E61D3">
        <w:rPr>
          <w:rFonts w:asciiTheme="majorHAnsi" w:hAnsiTheme="majorHAnsi"/>
        </w:rPr>
        <w:t xml:space="preserve"> younger, older, and very old alluvium. The </w:t>
      </w:r>
      <w:r w:rsidR="00A82014">
        <w:rPr>
          <w:rFonts w:asciiTheme="majorHAnsi" w:hAnsiTheme="majorHAnsi"/>
        </w:rPr>
        <w:t>alluvium is</w:t>
      </w:r>
      <w:r w:rsidRPr="007E61D3">
        <w:rPr>
          <w:rFonts w:asciiTheme="majorHAnsi" w:hAnsiTheme="majorHAnsi"/>
        </w:rPr>
        <w:t xml:space="preserve"> composed of interbedded </w:t>
      </w:r>
      <w:r w:rsidR="008A4671">
        <w:rPr>
          <w:rFonts w:asciiTheme="majorHAnsi" w:hAnsiTheme="majorHAnsi"/>
        </w:rPr>
        <w:t xml:space="preserve">and unconsolidated </w:t>
      </w:r>
      <w:r w:rsidRPr="007E61D3">
        <w:rPr>
          <w:rFonts w:asciiTheme="majorHAnsi" w:hAnsiTheme="majorHAnsi"/>
        </w:rPr>
        <w:t xml:space="preserve">layers of </w:t>
      </w:r>
      <w:r w:rsidR="00A82014" w:rsidRPr="007E61D3">
        <w:rPr>
          <w:rFonts w:asciiTheme="majorHAnsi" w:hAnsiTheme="majorHAnsi"/>
        </w:rPr>
        <w:t>gravel</w:t>
      </w:r>
      <w:r w:rsidR="00A82014">
        <w:rPr>
          <w:rFonts w:asciiTheme="majorHAnsi" w:hAnsiTheme="majorHAnsi"/>
        </w:rPr>
        <w:t>,</w:t>
      </w:r>
      <w:r w:rsidR="00A82014" w:rsidRPr="007E61D3">
        <w:rPr>
          <w:rFonts w:asciiTheme="majorHAnsi" w:hAnsiTheme="majorHAnsi"/>
        </w:rPr>
        <w:t xml:space="preserve"> sand</w:t>
      </w:r>
      <w:r w:rsidR="00A82014">
        <w:rPr>
          <w:rFonts w:asciiTheme="majorHAnsi" w:hAnsiTheme="majorHAnsi"/>
        </w:rPr>
        <w:t>,</w:t>
      </w:r>
      <w:r w:rsidR="00A82014" w:rsidRPr="007E61D3">
        <w:rPr>
          <w:rFonts w:asciiTheme="majorHAnsi" w:hAnsiTheme="majorHAnsi"/>
        </w:rPr>
        <w:t xml:space="preserve"> </w:t>
      </w:r>
      <w:r w:rsidRPr="007E61D3">
        <w:rPr>
          <w:rFonts w:asciiTheme="majorHAnsi" w:hAnsiTheme="majorHAnsi"/>
        </w:rPr>
        <w:t xml:space="preserve">silt, and clay. The younger alluvium is considered to be the primary groundwater reservoir in the Bedford Basin. </w:t>
      </w:r>
      <w:r w:rsidR="00A82014" w:rsidRPr="004D0D25">
        <w:rPr>
          <w:rFonts w:asciiTheme="majorHAnsi" w:hAnsiTheme="majorHAnsi"/>
        </w:rPr>
        <w:t>Figure 3-2 shows</w:t>
      </w:r>
      <w:r w:rsidR="00A82014">
        <w:rPr>
          <w:rFonts w:asciiTheme="majorHAnsi" w:hAnsiTheme="majorHAnsi"/>
        </w:rPr>
        <w:t xml:space="preserve"> that the younger alluvium is concentrated along the current floodplain of </w:t>
      </w:r>
      <w:r w:rsidR="0051242E">
        <w:rPr>
          <w:rFonts w:asciiTheme="majorHAnsi" w:hAnsiTheme="majorHAnsi"/>
        </w:rPr>
        <w:t xml:space="preserve">the </w:t>
      </w:r>
      <w:r w:rsidR="00A82014">
        <w:rPr>
          <w:rFonts w:asciiTheme="majorHAnsi" w:hAnsiTheme="majorHAnsi"/>
        </w:rPr>
        <w:t>Temescal and Bedford Wash.</w:t>
      </w:r>
    </w:p>
    <w:p w14:paraId="58A93EE6" w14:textId="77777777" w:rsidR="002C7782" w:rsidRDefault="002C7782" w:rsidP="002C7782">
      <w:pPr>
        <w:pStyle w:val="Heading2"/>
      </w:pPr>
      <w:bookmarkStart w:id="23" w:name="_Toc427921419"/>
      <w:r>
        <w:t>Occurrence and Movement</w:t>
      </w:r>
      <w:r w:rsidR="00C353EE" w:rsidRPr="00C353EE">
        <w:t xml:space="preserve"> </w:t>
      </w:r>
      <w:r w:rsidR="00C353EE">
        <w:t>of Groundwater</w:t>
      </w:r>
      <w:bookmarkEnd w:id="23"/>
    </w:p>
    <w:p w14:paraId="6FDEDBD0" w14:textId="77777777" w:rsidR="00814627" w:rsidRDefault="00814627" w:rsidP="00171A78">
      <w:pPr>
        <w:pStyle w:val="Heading3"/>
      </w:pPr>
      <w:bookmarkStart w:id="24" w:name="_Toc427921420"/>
      <w:r>
        <w:t>Basin Boundaries</w:t>
      </w:r>
      <w:bookmarkEnd w:id="24"/>
    </w:p>
    <w:p w14:paraId="53A3A7BB" w14:textId="5B8900EF" w:rsidR="00814627" w:rsidRPr="004D0D25" w:rsidRDefault="00C138F9" w:rsidP="00F8649C">
      <w:pPr>
        <w:spacing w:after="200" w:line="240" w:lineRule="auto"/>
        <w:rPr>
          <w:rFonts w:asciiTheme="majorHAnsi" w:hAnsiTheme="majorHAnsi"/>
        </w:rPr>
      </w:pPr>
      <w:r w:rsidRPr="00144FBA">
        <w:rPr>
          <w:rFonts w:asciiTheme="majorHAnsi" w:hAnsiTheme="majorHAnsi"/>
        </w:rPr>
        <w:t>The physical boundaries of the Bedford Basi</w:t>
      </w:r>
      <w:r w:rsidRPr="004D0D25">
        <w:rPr>
          <w:rFonts w:asciiTheme="majorHAnsi" w:hAnsiTheme="majorHAnsi"/>
        </w:rPr>
        <w:t xml:space="preserve">n are shown </w:t>
      </w:r>
      <w:r w:rsidR="00CE7B17">
        <w:rPr>
          <w:rFonts w:asciiTheme="majorHAnsi" w:hAnsiTheme="majorHAnsi"/>
        </w:rPr>
        <w:t>in</w:t>
      </w:r>
      <w:r w:rsidR="00CE7B17" w:rsidRPr="004D0D25">
        <w:rPr>
          <w:rFonts w:asciiTheme="majorHAnsi" w:hAnsiTheme="majorHAnsi"/>
        </w:rPr>
        <w:t xml:space="preserve"> </w:t>
      </w:r>
      <w:r w:rsidRPr="004D0D25">
        <w:rPr>
          <w:rFonts w:asciiTheme="majorHAnsi" w:hAnsiTheme="majorHAnsi"/>
        </w:rPr>
        <w:t xml:space="preserve">Figure </w:t>
      </w:r>
      <w:r w:rsidR="005863E7" w:rsidRPr="004D0D25">
        <w:rPr>
          <w:rFonts w:asciiTheme="majorHAnsi" w:hAnsiTheme="majorHAnsi"/>
        </w:rPr>
        <w:t>3-1</w:t>
      </w:r>
      <w:r w:rsidRPr="004D0D25">
        <w:rPr>
          <w:rFonts w:asciiTheme="majorHAnsi" w:hAnsiTheme="majorHAnsi"/>
        </w:rPr>
        <w:t xml:space="preserve">. The basin boundaries include geologic contacts with consolidated bedrock formations, faults, and bedrock constrictions that separate the Bedford Basin from the upstream and downstream basins. The eastern boundary is defined by the approximate contact between alluvial deposits in </w:t>
      </w:r>
      <w:r w:rsidR="002E18D0">
        <w:rPr>
          <w:rFonts w:asciiTheme="majorHAnsi" w:hAnsiTheme="majorHAnsi"/>
        </w:rPr>
        <w:t xml:space="preserve">the </w:t>
      </w:r>
      <w:r w:rsidRPr="004D0D25">
        <w:rPr>
          <w:rFonts w:asciiTheme="majorHAnsi" w:hAnsiTheme="majorHAnsi"/>
        </w:rPr>
        <w:t>Temescal Wash and the bedrock outcrops of El Sobrante de San Jacinto. To the south, the Bedford Basin is separated from the Lee Lake Basin by a narrow bedrock canyon just downstream of Lee Lake. To the west, the Bedford Basin is bounded by the North Glen Ivy Fault</w:t>
      </w:r>
      <w:r w:rsidR="002E18D0">
        <w:rPr>
          <w:rFonts w:asciiTheme="majorHAnsi" w:hAnsiTheme="majorHAnsi"/>
        </w:rPr>
        <w:t>,</w:t>
      </w:r>
      <w:r w:rsidRPr="004D0D25">
        <w:rPr>
          <w:rFonts w:asciiTheme="majorHAnsi" w:hAnsiTheme="majorHAnsi"/>
        </w:rPr>
        <w:t xml:space="preserve"> which separates the Coldwater </w:t>
      </w:r>
      <w:r w:rsidR="002E18D0">
        <w:rPr>
          <w:rFonts w:asciiTheme="majorHAnsi" w:hAnsiTheme="majorHAnsi"/>
        </w:rPr>
        <w:t>and</w:t>
      </w:r>
      <w:r w:rsidRPr="004D0D25">
        <w:rPr>
          <w:rFonts w:asciiTheme="majorHAnsi" w:hAnsiTheme="majorHAnsi"/>
        </w:rPr>
        <w:t xml:space="preserve"> Bedford Basin</w:t>
      </w:r>
      <w:r w:rsidR="002E18D0">
        <w:rPr>
          <w:rFonts w:asciiTheme="majorHAnsi" w:hAnsiTheme="majorHAnsi"/>
        </w:rPr>
        <w:t>s</w:t>
      </w:r>
      <w:r w:rsidRPr="004D0D25">
        <w:rPr>
          <w:rFonts w:asciiTheme="majorHAnsi" w:hAnsiTheme="majorHAnsi"/>
        </w:rPr>
        <w:t xml:space="preserve">. </w:t>
      </w:r>
      <w:r w:rsidR="00955E50" w:rsidRPr="004D0D25">
        <w:rPr>
          <w:rFonts w:asciiTheme="majorHAnsi" w:hAnsiTheme="majorHAnsi"/>
        </w:rPr>
        <w:t xml:space="preserve">This fault is an effective barrier to groundwater flow. </w:t>
      </w:r>
      <w:r w:rsidRPr="004D0D25">
        <w:rPr>
          <w:rFonts w:asciiTheme="majorHAnsi" w:hAnsiTheme="majorHAnsi"/>
        </w:rPr>
        <w:t>To the north, the Bedford Basin is separated from the Temescal Basin by a narrow bedrock canyon just downstream of the Flagler wells.</w:t>
      </w:r>
    </w:p>
    <w:p w14:paraId="4866A3CC" w14:textId="77777777" w:rsidR="002C7782" w:rsidRPr="004D0D25" w:rsidRDefault="002C7782" w:rsidP="00171A78">
      <w:pPr>
        <w:pStyle w:val="Heading3"/>
      </w:pPr>
      <w:bookmarkStart w:id="25" w:name="_Toc427921421"/>
      <w:r w:rsidRPr="004D0D25">
        <w:t>Aquifer Geometry</w:t>
      </w:r>
      <w:bookmarkEnd w:id="25"/>
    </w:p>
    <w:p w14:paraId="24A6B469" w14:textId="50477124" w:rsidR="003934DF" w:rsidRDefault="00E102EA" w:rsidP="003934DF">
      <w:pPr>
        <w:pStyle w:val="StyleBodyText12ptJustified"/>
      </w:pPr>
      <w:r w:rsidRPr="004D0D25">
        <w:t xml:space="preserve">The depth-to-bedrock contours </w:t>
      </w:r>
      <w:r w:rsidR="002E18D0">
        <w:t>in</w:t>
      </w:r>
      <w:r w:rsidR="002E18D0" w:rsidRPr="004D0D25">
        <w:t xml:space="preserve"> </w:t>
      </w:r>
      <w:r w:rsidRPr="004D0D25">
        <w:t xml:space="preserve">Figure 3-2 also </w:t>
      </w:r>
      <w:r w:rsidR="00F00C0D" w:rsidRPr="004D0D25">
        <w:t xml:space="preserve">depict </w:t>
      </w:r>
      <w:r w:rsidRPr="004D0D25">
        <w:t>the thickness of the water-bearing sediments.</w:t>
      </w:r>
      <w:r w:rsidR="00ED6A3B" w:rsidRPr="004D0D25">
        <w:t xml:space="preserve"> </w:t>
      </w:r>
      <w:r w:rsidR="00F00C0D">
        <w:t xml:space="preserve">And, </w:t>
      </w:r>
      <w:r w:rsidR="003934DF" w:rsidRPr="004D0D25">
        <w:t>Figure</w:t>
      </w:r>
      <w:r w:rsidR="00F00C0D">
        <w:t>s</w:t>
      </w:r>
      <w:r w:rsidR="003934DF" w:rsidRPr="004D0D25">
        <w:t xml:space="preserve"> 3-1 and 3-2 also show the locations of four hydrogeologic cross-sections that transect the Bedford Basin across </w:t>
      </w:r>
      <w:r w:rsidR="0051242E" w:rsidRPr="004D0D25">
        <w:t xml:space="preserve">the </w:t>
      </w:r>
      <w:r w:rsidR="003934DF" w:rsidRPr="004D0D25">
        <w:t>Temescal</w:t>
      </w:r>
      <w:r w:rsidR="003934DF">
        <w:t xml:space="preserve"> Wash. These cross-sections are shown in profile </w:t>
      </w:r>
      <w:r w:rsidR="003934DF" w:rsidRPr="004D0D25">
        <w:t xml:space="preserve">view </w:t>
      </w:r>
      <w:r w:rsidR="00F00C0D">
        <w:t>i</w:t>
      </w:r>
      <w:r w:rsidR="00F00C0D" w:rsidRPr="004D0D25">
        <w:t xml:space="preserve">n </w:t>
      </w:r>
      <w:r w:rsidR="003934DF" w:rsidRPr="004D0D25">
        <w:t>Figures 3</w:t>
      </w:r>
      <w:r w:rsidR="003934DF" w:rsidRPr="00F015FF">
        <w:t>-3a, 3-3b, 3-3c, and 3-3d</w:t>
      </w:r>
      <w:r w:rsidR="003934DF">
        <w:t>,</w:t>
      </w:r>
      <w:r w:rsidR="003934DF" w:rsidRPr="00F015FF">
        <w:t xml:space="preserve"> and include borehole lithology and well information along the cross-sections. </w:t>
      </w:r>
      <w:r w:rsidR="003934DF">
        <w:t>B</w:t>
      </w:r>
      <w:r w:rsidR="003934DF" w:rsidRPr="00E05D2A">
        <w:t>eneath the Temescal Wash</w:t>
      </w:r>
      <w:r w:rsidR="00C87359">
        <w:t>,</w:t>
      </w:r>
      <w:r w:rsidR="003934DF">
        <w:t xml:space="preserve"> the water-bearing sediments are primarily composed of younger alluvium.</w:t>
      </w:r>
      <w:r w:rsidR="003934DF" w:rsidRPr="00E05D2A">
        <w:t xml:space="preserve"> </w:t>
      </w:r>
      <w:r w:rsidR="003934DF">
        <w:t xml:space="preserve">The major production wells within Bedford Basin are completed within </w:t>
      </w:r>
      <w:r w:rsidR="00CC597D">
        <w:t xml:space="preserve">the younger alluvium </w:t>
      </w:r>
      <w:r w:rsidR="003934DF">
        <w:t>adjacent to the Temescal Wash.</w:t>
      </w:r>
      <w:r w:rsidR="00ED6A3B">
        <w:t xml:space="preserve"> </w:t>
      </w:r>
      <w:r w:rsidR="00C87359" w:rsidRPr="00F015FF">
        <w:t xml:space="preserve">The </w:t>
      </w:r>
      <w:r w:rsidR="00C87359">
        <w:t xml:space="preserve">maps and </w:t>
      </w:r>
      <w:r w:rsidR="00C87359" w:rsidRPr="00F015FF">
        <w:t xml:space="preserve">cross-sections </w:t>
      </w:r>
      <w:r w:rsidR="00CC597D">
        <w:t>depict</w:t>
      </w:r>
      <w:r w:rsidR="00C87359" w:rsidRPr="00F015FF">
        <w:t xml:space="preserve"> </w:t>
      </w:r>
      <w:r w:rsidR="00CC597D">
        <w:t xml:space="preserve">the younger alluvium </w:t>
      </w:r>
      <w:r w:rsidR="00C87359">
        <w:t>beneath the Temescal Wash as a narrow, thin band of saturated alluvial sediments.</w:t>
      </w:r>
      <w:r w:rsidR="00ED6A3B">
        <w:t xml:space="preserve"> </w:t>
      </w:r>
      <w:r w:rsidR="003934DF">
        <w:t>T</w:t>
      </w:r>
      <w:r w:rsidR="003934DF" w:rsidRPr="00E05D2A">
        <w:t xml:space="preserve">he thickness of the </w:t>
      </w:r>
      <w:r w:rsidR="00CC597D">
        <w:t xml:space="preserve">younger alluvium </w:t>
      </w:r>
      <w:r w:rsidR="003934DF">
        <w:t>beneath Temescal Wash</w:t>
      </w:r>
      <w:r w:rsidR="003934DF" w:rsidRPr="00E05D2A">
        <w:t xml:space="preserve"> ranges from</w:t>
      </w:r>
      <w:r w:rsidR="00CC597D">
        <w:t xml:space="preserve"> approximately 60 to 140 feet.</w:t>
      </w:r>
    </w:p>
    <w:p w14:paraId="2A63D7D1" w14:textId="700D1091" w:rsidR="003934DF" w:rsidRDefault="00E05D2A" w:rsidP="00D75382">
      <w:pPr>
        <w:pStyle w:val="StyleBodyText12ptJustified"/>
      </w:pPr>
      <w:r w:rsidRPr="00E05D2A">
        <w:t>Areas where the wat</w:t>
      </w:r>
      <w:r w:rsidR="00E102EA">
        <w:t xml:space="preserve">er-bearing sediments are </w:t>
      </w:r>
      <w:r w:rsidR="00C87359">
        <w:t xml:space="preserve">mapped as </w:t>
      </w:r>
      <w:r w:rsidR="00E102EA">
        <w:t>thickest</w:t>
      </w:r>
      <w:r w:rsidRPr="00E05D2A">
        <w:t xml:space="preserve"> </w:t>
      </w:r>
      <w:r w:rsidR="00E102EA">
        <w:t>u</w:t>
      </w:r>
      <w:r w:rsidR="00C87359">
        <w:t>nderlie</w:t>
      </w:r>
      <w:r w:rsidRPr="00E05D2A">
        <w:t xml:space="preserve"> the Bedford Wash (~250 feet thick) and the southwestern portion </w:t>
      </w:r>
      <w:r w:rsidR="00F00C0D">
        <w:t xml:space="preserve">the </w:t>
      </w:r>
      <w:r w:rsidRPr="00E05D2A">
        <w:t xml:space="preserve">Bedford Basin along the boundary </w:t>
      </w:r>
      <w:r w:rsidR="00E102EA">
        <w:t>with</w:t>
      </w:r>
      <w:r w:rsidRPr="00E05D2A">
        <w:t xml:space="preserve"> the Coldwater Basin (~200 to 350 feet thick).</w:t>
      </w:r>
      <w:r w:rsidR="00ED6A3B">
        <w:t xml:space="preserve"> </w:t>
      </w:r>
      <w:r w:rsidR="00C87359">
        <w:t xml:space="preserve">Borehole </w:t>
      </w:r>
      <w:r w:rsidR="00CC597D">
        <w:t xml:space="preserve">and well </w:t>
      </w:r>
      <w:r w:rsidR="00C87359">
        <w:t xml:space="preserve">information is sparse in these areas, </w:t>
      </w:r>
      <w:r w:rsidR="00CC597D">
        <w:t>so the aquifer geometry is not well characterized.</w:t>
      </w:r>
      <w:r w:rsidR="00ED6A3B">
        <w:t xml:space="preserve"> </w:t>
      </w:r>
      <w:r w:rsidR="00CC597D">
        <w:t>C</w:t>
      </w:r>
      <w:r w:rsidR="00C87359">
        <w:t>urrently</w:t>
      </w:r>
      <w:r w:rsidR="00CC597D">
        <w:t>,</w:t>
      </w:r>
      <w:r w:rsidR="00C87359">
        <w:t xml:space="preserve"> there are no major production wells located in these areas.</w:t>
      </w:r>
      <w:r w:rsidR="00ED6A3B">
        <w:t xml:space="preserve"> </w:t>
      </w:r>
    </w:p>
    <w:p w14:paraId="535B4531" w14:textId="77777777" w:rsidR="00C353EE" w:rsidRDefault="00C353EE" w:rsidP="00171A78">
      <w:pPr>
        <w:pStyle w:val="Heading3"/>
      </w:pPr>
      <w:bookmarkStart w:id="26" w:name="_Toc427921422"/>
      <w:r>
        <w:t xml:space="preserve">Aquifer </w:t>
      </w:r>
      <w:r w:rsidR="003E4CAE">
        <w:t>Properties</w:t>
      </w:r>
      <w:bookmarkEnd w:id="26"/>
    </w:p>
    <w:p w14:paraId="6F7A4197" w14:textId="778DB461" w:rsidR="00C353EE" w:rsidRDefault="00C353EE" w:rsidP="00C353EE">
      <w:pPr>
        <w:pStyle w:val="StyleBodyText12ptJustified"/>
      </w:pPr>
      <w:r>
        <w:t>There is limited aquifer testing information for wells within the Bedford Basin. Some aquifer test</w:t>
      </w:r>
      <w:r w:rsidR="003E4CAE">
        <w:t>ing</w:t>
      </w:r>
      <w:r>
        <w:t xml:space="preserve"> information is available in </w:t>
      </w:r>
      <w:r w:rsidR="003E4CAE">
        <w:t xml:space="preserve">the </w:t>
      </w:r>
      <w:r>
        <w:t xml:space="preserve">northern </w:t>
      </w:r>
      <w:r w:rsidR="003E4CAE">
        <w:t xml:space="preserve">portion of the </w:t>
      </w:r>
      <w:r>
        <w:t>Bedford Basin. In 2005, Fox and Roberts conducted a single three-hour constant</w:t>
      </w:r>
      <w:r w:rsidR="003E4CAE">
        <w:t>-</w:t>
      </w:r>
      <w:r>
        <w:t xml:space="preserve">rate test after </w:t>
      </w:r>
      <w:r w:rsidR="00F00C0D">
        <w:t xml:space="preserve">the </w:t>
      </w:r>
      <w:r>
        <w:t xml:space="preserve">construction and development of Flagler 3A. </w:t>
      </w:r>
      <w:r w:rsidR="003E4CAE">
        <w:t xml:space="preserve">The well was pumped for three </w:t>
      </w:r>
      <w:r>
        <w:t xml:space="preserve">hours at a rate of 1,100 gpm, total drawdown was 10.5 ft, the specific capacity was 105 gpm/ft. Other pump testing </w:t>
      </w:r>
      <w:r w:rsidR="00F00C0D">
        <w:t>includes</w:t>
      </w:r>
      <w:r>
        <w:t xml:space="preserve"> Southern California Edison’s (SCE) 24-hour efficiency testing at Flagler 2A, Flagler 3A, Gregory 1, and Gregory 2. The efficiency testing results for these wells are </w:t>
      </w:r>
      <w:r w:rsidR="00F00C0D">
        <w:t>as follows</w:t>
      </w:r>
      <w:r w:rsidR="006A332F">
        <w:t>:</w:t>
      </w:r>
    </w:p>
    <w:p w14:paraId="40332110" w14:textId="77777777" w:rsidR="00C353EE" w:rsidRPr="00B51B43" w:rsidRDefault="00C353EE" w:rsidP="00C353EE">
      <w:pPr>
        <w:pStyle w:val="Caption"/>
        <w:keepNext/>
        <w:jc w:val="center"/>
        <w:rPr>
          <w:rFonts w:asciiTheme="majorHAnsi" w:hAnsiTheme="majorHAnsi"/>
          <w:sz w:val="20"/>
        </w:rPr>
      </w:pPr>
      <w:commentRangeStart w:id="27"/>
      <w:r w:rsidRPr="00B51B43">
        <w:rPr>
          <w:rFonts w:asciiTheme="majorHAnsi" w:hAnsiTheme="majorHAnsi"/>
          <w:sz w:val="20"/>
        </w:rPr>
        <w:t xml:space="preserve">Summary of </w:t>
      </w:r>
      <w:r>
        <w:rPr>
          <w:rFonts w:asciiTheme="majorHAnsi" w:hAnsiTheme="majorHAnsi"/>
          <w:sz w:val="20"/>
        </w:rPr>
        <w:t>SCE</w:t>
      </w:r>
      <w:r w:rsidRPr="00B51B43">
        <w:rPr>
          <w:rFonts w:asciiTheme="majorHAnsi" w:hAnsiTheme="majorHAnsi"/>
          <w:sz w:val="20"/>
        </w:rPr>
        <w:t xml:space="preserve"> Well Efficiency Testing</w:t>
      </w:r>
      <w:commentRangeEnd w:id="27"/>
      <w:r w:rsidR="00FE2908">
        <w:rPr>
          <w:rStyle w:val="CommentReference"/>
          <w:b w:val="0"/>
        </w:rPr>
        <w:commentReference w:id="27"/>
      </w:r>
    </w:p>
    <w:tbl>
      <w:tblPr>
        <w:tblStyle w:val="TableGrid"/>
        <w:tblW w:w="0" w:type="auto"/>
        <w:jc w:val="center"/>
        <w:tblLook w:val="04A0" w:firstRow="1" w:lastRow="0" w:firstColumn="1" w:lastColumn="0" w:noHBand="0" w:noVBand="1"/>
      </w:tblPr>
      <w:tblGrid>
        <w:gridCol w:w="1089"/>
        <w:gridCol w:w="1089"/>
        <w:gridCol w:w="1292"/>
        <w:gridCol w:w="638"/>
        <w:gridCol w:w="1230"/>
        <w:gridCol w:w="1166"/>
        <w:gridCol w:w="1166"/>
      </w:tblGrid>
      <w:tr w:rsidR="001739BF" w14:paraId="245637AC" w14:textId="77777777" w:rsidTr="006D61BD">
        <w:trPr>
          <w:trHeight w:hRule="exact" w:val="504"/>
          <w:tblHeader/>
          <w:jc w:val="center"/>
        </w:trPr>
        <w:tc>
          <w:tcPr>
            <w:tcW w:w="0" w:type="auto"/>
            <w:vMerge w:val="restart"/>
            <w:tcBorders>
              <w:top w:val="single" w:sz="8" w:space="0" w:color="000090"/>
              <w:left w:val="single" w:sz="8" w:space="0" w:color="000090"/>
              <w:bottom w:val="nil"/>
              <w:right w:val="single" w:sz="4" w:space="0" w:color="FFFFFF" w:themeColor="background1"/>
            </w:tcBorders>
            <w:shd w:val="clear" w:color="auto" w:fill="000090"/>
            <w:vAlign w:val="center"/>
          </w:tcPr>
          <w:p w14:paraId="0488292D" w14:textId="77777777" w:rsidR="00C353EE" w:rsidRPr="00DF7CD6" w:rsidRDefault="00C353EE" w:rsidP="009E68C4">
            <w:pPr>
              <w:pStyle w:val="StyleBodyText12ptJustified"/>
              <w:jc w:val="center"/>
              <w:rPr>
                <w:b/>
                <w:color w:val="FFFFFF" w:themeColor="background1"/>
                <w:sz w:val="20"/>
              </w:rPr>
            </w:pPr>
            <w:r w:rsidRPr="00DF7CD6">
              <w:rPr>
                <w:b/>
                <w:color w:val="FFFFFF" w:themeColor="background1"/>
                <w:sz w:val="20"/>
              </w:rPr>
              <w:t>Well</w:t>
            </w:r>
          </w:p>
        </w:tc>
        <w:tc>
          <w:tcPr>
            <w:tcW w:w="1089" w:type="dxa"/>
            <w:vMerge w:val="restart"/>
            <w:tcBorders>
              <w:top w:val="single" w:sz="8" w:space="0" w:color="000090"/>
              <w:left w:val="single" w:sz="4" w:space="0" w:color="FFFFFF" w:themeColor="background1"/>
              <w:bottom w:val="nil"/>
              <w:right w:val="single" w:sz="4" w:space="0" w:color="FFFFFF" w:themeColor="background1"/>
            </w:tcBorders>
            <w:shd w:val="clear" w:color="auto" w:fill="000090"/>
            <w:vAlign w:val="center"/>
          </w:tcPr>
          <w:p w14:paraId="76A045F6" w14:textId="77777777" w:rsidR="00C353EE" w:rsidRPr="00DF7CD6" w:rsidRDefault="00C353EE" w:rsidP="009E68C4">
            <w:pPr>
              <w:pStyle w:val="StyleBodyText12ptJustified"/>
              <w:jc w:val="center"/>
              <w:rPr>
                <w:b/>
                <w:color w:val="FFFFFF" w:themeColor="background1"/>
                <w:sz w:val="20"/>
              </w:rPr>
            </w:pPr>
            <w:r w:rsidRPr="00DF7CD6">
              <w:rPr>
                <w:b/>
                <w:color w:val="FFFFFF" w:themeColor="background1"/>
                <w:sz w:val="20"/>
              </w:rPr>
              <w:t>Test Date</w:t>
            </w:r>
          </w:p>
        </w:tc>
        <w:tc>
          <w:tcPr>
            <w:tcW w:w="1292" w:type="dxa"/>
            <w:tcBorders>
              <w:top w:val="single" w:sz="8" w:space="0" w:color="000090"/>
              <w:left w:val="single" w:sz="4" w:space="0" w:color="FFFFFF" w:themeColor="background1"/>
              <w:bottom w:val="single" w:sz="4" w:space="0" w:color="FFFFFF" w:themeColor="background1"/>
              <w:right w:val="single" w:sz="4" w:space="0" w:color="FFFFFF" w:themeColor="background1"/>
            </w:tcBorders>
            <w:shd w:val="clear" w:color="auto" w:fill="000090"/>
            <w:vAlign w:val="center"/>
          </w:tcPr>
          <w:p w14:paraId="7DA8EB6B" w14:textId="77777777" w:rsidR="00C353EE" w:rsidRPr="00DF7CD6" w:rsidRDefault="00C353EE" w:rsidP="009E68C4">
            <w:pPr>
              <w:pStyle w:val="StyleBodyText12ptJustified"/>
              <w:jc w:val="center"/>
              <w:rPr>
                <w:b/>
                <w:color w:val="FFFFFF" w:themeColor="background1"/>
                <w:sz w:val="20"/>
              </w:rPr>
            </w:pPr>
            <w:r w:rsidRPr="00DF7CD6">
              <w:rPr>
                <w:b/>
                <w:color w:val="FFFFFF" w:themeColor="background1"/>
                <w:sz w:val="20"/>
              </w:rPr>
              <w:t>Static Water Level</w:t>
            </w:r>
          </w:p>
        </w:tc>
        <w:tc>
          <w:tcPr>
            <w:tcW w:w="630" w:type="dxa"/>
            <w:vMerge w:val="restart"/>
            <w:tcBorders>
              <w:top w:val="single" w:sz="8" w:space="0" w:color="000090"/>
              <w:left w:val="single" w:sz="4" w:space="0" w:color="FFFFFF" w:themeColor="background1"/>
              <w:bottom w:val="nil"/>
              <w:right w:val="single" w:sz="4" w:space="0" w:color="FFFFFF" w:themeColor="background1"/>
            </w:tcBorders>
            <w:shd w:val="clear" w:color="auto" w:fill="000090"/>
            <w:vAlign w:val="center"/>
          </w:tcPr>
          <w:p w14:paraId="545C6E37" w14:textId="77777777" w:rsidR="00C353EE" w:rsidRPr="00DF7CD6" w:rsidRDefault="00C353EE" w:rsidP="009E68C4">
            <w:pPr>
              <w:pStyle w:val="StyleBodyText12ptJustified"/>
              <w:jc w:val="center"/>
              <w:rPr>
                <w:b/>
                <w:color w:val="FFFFFF" w:themeColor="background1"/>
                <w:sz w:val="20"/>
              </w:rPr>
            </w:pPr>
            <w:r w:rsidRPr="00DF7CD6">
              <w:rPr>
                <w:b/>
                <w:color w:val="FFFFFF" w:themeColor="background1"/>
                <w:sz w:val="20"/>
              </w:rPr>
              <w:t>GPM</w:t>
            </w:r>
          </w:p>
        </w:tc>
        <w:tc>
          <w:tcPr>
            <w:tcW w:w="1168" w:type="dxa"/>
            <w:tcBorders>
              <w:top w:val="single" w:sz="8" w:space="0" w:color="000090"/>
              <w:left w:val="single" w:sz="4" w:space="0" w:color="FFFFFF" w:themeColor="background1"/>
              <w:bottom w:val="single" w:sz="4" w:space="0" w:color="FFFFFF" w:themeColor="background1"/>
              <w:right w:val="single" w:sz="4" w:space="0" w:color="FFFFFF" w:themeColor="background1"/>
            </w:tcBorders>
            <w:shd w:val="clear" w:color="auto" w:fill="000090"/>
            <w:vAlign w:val="center"/>
          </w:tcPr>
          <w:p w14:paraId="78FD280B" w14:textId="77777777" w:rsidR="00C353EE" w:rsidRPr="00DF7CD6" w:rsidRDefault="00C353EE" w:rsidP="0035127C">
            <w:pPr>
              <w:pStyle w:val="StyleBodyText12ptJustified"/>
              <w:jc w:val="center"/>
              <w:rPr>
                <w:b/>
                <w:color w:val="FFFFFF" w:themeColor="background1"/>
                <w:sz w:val="20"/>
              </w:rPr>
            </w:pPr>
            <w:r w:rsidRPr="00DF7CD6">
              <w:rPr>
                <w:b/>
                <w:color w:val="FFFFFF" w:themeColor="background1"/>
                <w:sz w:val="20"/>
              </w:rPr>
              <w:t>Drawdown</w:t>
            </w:r>
          </w:p>
        </w:tc>
        <w:tc>
          <w:tcPr>
            <w:tcW w:w="1166" w:type="dxa"/>
            <w:tcBorders>
              <w:top w:val="single" w:sz="8" w:space="0" w:color="000090"/>
              <w:left w:val="single" w:sz="4" w:space="0" w:color="FFFFFF" w:themeColor="background1"/>
              <w:bottom w:val="single" w:sz="4" w:space="0" w:color="FFFFFF" w:themeColor="background1"/>
              <w:right w:val="single" w:sz="4" w:space="0" w:color="FFFFFF" w:themeColor="background1"/>
            </w:tcBorders>
            <w:shd w:val="clear" w:color="auto" w:fill="000090"/>
            <w:vAlign w:val="center"/>
          </w:tcPr>
          <w:p w14:paraId="22F615B3" w14:textId="77777777" w:rsidR="00C353EE" w:rsidRPr="00DF7CD6" w:rsidRDefault="00C353EE" w:rsidP="0035127C">
            <w:pPr>
              <w:pStyle w:val="StyleBodyText12ptJustified"/>
              <w:jc w:val="center"/>
              <w:rPr>
                <w:b/>
                <w:color w:val="FFFFFF" w:themeColor="background1"/>
                <w:sz w:val="20"/>
              </w:rPr>
            </w:pPr>
            <w:r w:rsidRPr="00DF7CD6">
              <w:rPr>
                <w:b/>
                <w:color w:val="FFFFFF" w:themeColor="background1"/>
                <w:sz w:val="20"/>
              </w:rPr>
              <w:t>Specific Capacity</w:t>
            </w:r>
          </w:p>
        </w:tc>
        <w:tc>
          <w:tcPr>
            <w:tcW w:w="1166" w:type="dxa"/>
            <w:tcBorders>
              <w:top w:val="single" w:sz="8" w:space="0" w:color="000090"/>
              <w:left w:val="single" w:sz="4" w:space="0" w:color="FFFFFF" w:themeColor="background1"/>
              <w:bottom w:val="single" w:sz="4" w:space="0" w:color="FFFFFF" w:themeColor="background1"/>
              <w:right w:val="single" w:sz="8" w:space="0" w:color="000090"/>
            </w:tcBorders>
            <w:shd w:val="clear" w:color="auto" w:fill="000090"/>
            <w:vAlign w:val="center"/>
          </w:tcPr>
          <w:p w14:paraId="55AB367D" w14:textId="77777777" w:rsidR="00C353EE" w:rsidRPr="00DF7CD6" w:rsidRDefault="00C353EE" w:rsidP="0035127C">
            <w:pPr>
              <w:pStyle w:val="StyleBodyText12ptJustified"/>
              <w:jc w:val="center"/>
              <w:rPr>
                <w:b/>
                <w:color w:val="FFFFFF" w:themeColor="background1"/>
                <w:sz w:val="20"/>
              </w:rPr>
            </w:pPr>
            <w:r w:rsidRPr="00DF7CD6">
              <w:rPr>
                <w:b/>
                <w:color w:val="FFFFFF" w:themeColor="background1"/>
                <w:sz w:val="20"/>
              </w:rPr>
              <w:t>Well Efficiency</w:t>
            </w:r>
          </w:p>
        </w:tc>
      </w:tr>
      <w:tr w:rsidR="001739BF" w14:paraId="3227F5BF" w14:textId="77777777" w:rsidTr="006D61BD">
        <w:trPr>
          <w:trHeight w:hRule="exact" w:val="288"/>
          <w:tblHeader/>
          <w:jc w:val="center"/>
        </w:trPr>
        <w:tc>
          <w:tcPr>
            <w:tcW w:w="0" w:type="auto"/>
            <w:vMerge/>
            <w:tcBorders>
              <w:top w:val="nil"/>
              <w:left w:val="single" w:sz="8" w:space="0" w:color="000090"/>
              <w:bottom w:val="nil"/>
              <w:right w:val="single" w:sz="4" w:space="0" w:color="FFFFFF" w:themeColor="background1"/>
            </w:tcBorders>
            <w:shd w:val="clear" w:color="auto" w:fill="000090"/>
            <w:vAlign w:val="center"/>
          </w:tcPr>
          <w:p w14:paraId="1AA2884B" w14:textId="77777777" w:rsidR="00C353EE" w:rsidRPr="00002090" w:rsidRDefault="00C353EE" w:rsidP="00002090">
            <w:pPr>
              <w:pStyle w:val="StyleBodyText12ptJustified"/>
              <w:jc w:val="center"/>
              <w:rPr>
                <w:b/>
                <w:color w:val="FFFFFF" w:themeColor="background1"/>
              </w:rPr>
            </w:pPr>
          </w:p>
        </w:tc>
        <w:tc>
          <w:tcPr>
            <w:tcW w:w="1089" w:type="dxa"/>
            <w:vMerge/>
            <w:tcBorders>
              <w:top w:val="nil"/>
              <w:left w:val="single" w:sz="4" w:space="0" w:color="FFFFFF" w:themeColor="background1"/>
              <w:bottom w:val="nil"/>
              <w:right w:val="single" w:sz="4" w:space="0" w:color="FFFFFF" w:themeColor="background1"/>
            </w:tcBorders>
            <w:shd w:val="clear" w:color="auto" w:fill="000090"/>
            <w:vAlign w:val="center"/>
          </w:tcPr>
          <w:p w14:paraId="685371AC" w14:textId="77777777" w:rsidR="00C353EE" w:rsidRPr="00002090" w:rsidRDefault="00C353EE" w:rsidP="00002090">
            <w:pPr>
              <w:pStyle w:val="StyleBodyText12ptJustified"/>
              <w:jc w:val="center"/>
              <w:rPr>
                <w:b/>
                <w:color w:val="FFFFFF" w:themeColor="background1"/>
              </w:rPr>
            </w:pPr>
          </w:p>
        </w:tc>
        <w:tc>
          <w:tcPr>
            <w:tcW w:w="1292" w:type="dxa"/>
            <w:tcBorders>
              <w:top w:val="single" w:sz="4" w:space="0" w:color="FFFFFF" w:themeColor="background1"/>
              <w:left w:val="single" w:sz="4" w:space="0" w:color="FFFFFF" w:themeColor="background1"/>
              <w:bottom w:val="nil"/>
              <w:right w:val="single" w:sz="4" w:space="0" w:color="FFFFFF" w:themeColor="background1"/>
            </w:tcBorders>
            <w:shd w:val="clear" w:color="auto" w:fill="000090"/>
            <w:vAlign w:val="center"/>
          </w:tcPr>
          <w:p w14:paraId="643CB7D0" w14:textId="77777777" w:rsidR="00C353EE" w:rsidRPr="006D61BD" w:rsidRDefault="009E68C4" w:rsidP="009E68C4">
            <w:pPr>
              <w:pStyle w:val="StyleBodyText12ptJustified"/>
              <w:jc w:val="center"/>
              <w:rPr>
                <w:color w:val="FFFFFF" w:themeColor="background1"/>
                <w:sz w:val="20"/>
              </w:rPr>
            </w:pPr>
            <w:r w:rsidRPr="006D61BD">
              <w:rPr>
                <w:bCs/>
                <w:color w:val="FFFFFF" w:themeColor="background1"/>
                <w:sz w:val="20"/>
              </w:rPr>
              <w:t>(</w:t>
            </w:r>
            <w:r w:rsidRPr="006D61BD">
              <w:rPr>
                <w:color w:val="FFFFFF" w:themeColor="background1"/>
                <w:sz w:val="20"/>
              </w:rPr>
              <w:t>f</w:t>
            </w:r>
            <w:r w:rsidR="00C353EE" w:rsidRPr="006D61BD">
              <w:rPr>
                <w:color w:val="FFFFFF" w:themeColor="background1"/>
                <w:sz w:val="20"/>
              </w:rPr>
              <w:t>t-bgs</w:t>
            </w:r>
            <w:r w:rsidRPr="006D61BD">
              <w:rPr>
                <w:bCs/>
                <w:color w:val="FFFFFF" w:themeColor="background1"/>
                <w:sz w:val="20"/>
              </w:rPr>
              <w:t>)</w:t>
            </w:r>
          </w:p>
        </w:tc>
        <w:tc>
          <w:tcPr>
            <w:tcW w:w="630" w:type="dxa"/>
            <w:vMerge/>
            <w:tcBorders>
              <w:top w:val="nil"/>
              <w:left w:val="single" w:sz="4" w:space="0" w:color="FFFFFF" w:themeColor="background1"/>
              <w:bottom w:val="nil"/>
              <w:right w:val="single" w:sz="4" w:space="0" w:color="FFFFFF" w:themeColor="background1"/>
            </w:tcBorders>
            <w:shd w:val="clear" w:color="auto" w:fill="000090"/>
            <w:vAlign w:val="center"/>
          </w:tcPr>
          <w:p w14:paraId="086488B9" w14:textId="77777777" w:rsidR="00C353EE" w:rsidRPr="00002090" w:rsidRDefault="00C353EE" w:rsidP="00F55818">
            <w:pPr>
              <w:pStyle w:val="StyleBodyText12ptJustified"/>
              <w:pBdr>
                <w:bottom w:val="single" w:sz="6" w:space="1" w:color="011C67"/>
              </w:pBdr>
              <w:tabs>
                <w:tab w:val="right" w:pos="8827"/>
              </w:tabs>
              <w:ind w:left="1000"/>
              <w:jc w:val="center"/>
              <w:rPr>
                <w:b/>
                <w:color w:val="FFFFFF" w:themeColor="background1"/>
                <w:sz w:val="20"/>
              </w:rPr>
            </w:pPr>
          </w:p>
        </w:tc>
        <w:tc>
          <w:tcPr>
            <w:tcW w:w="1168" w:type="dxa"/>
            <w:tcBorders>
              <w:top w:val="single" w:sz="4" w:space="0" w:color="FFFFFF" w:themeColor="background1"/>
              <w:left w:val="single" w:sz="4" w:space="0" w:color="FFFFFF" w:themeColor="background1"/>
              <w:bottom w:val="nil"/>
              <w:right w:val="single" w:sz="4" w:space="0" w:color="FFFFFF" w:themeColor="background1"/>
            </w:tcBorders>
            <w:shd w:val="clear" w:color="auto" w:fill="000090"/>
            <w:vAlign w:val="center"/>
          </w:tcPr>
          <w:p w14:paraId="13DDD2BD" w14:textId="77777777" w:rsidR="00C353EE" w:rsidRPr="006D61BD" w:rsidRDefault="009E68C4">
            <w:pPr>
              <w:pStyle w:val="StyleBodyText12ptJustified"/>
              <w:jc w:val="center"/>
              <w:rPr>
                <w:color w:val="FFFFFF" w:themeColor="background1"/>
                <w:sz w:val="20"/>
              </w:rPr>
            </w:pPr>
            <w:r w:rsidRPr="006D61BD">
              <w:rPr>
                <w:bCs/>
                <w:color w:val="FFFFFF" w:themeColor="background1"/>
                <w:sz w:val="20"/>
              </w:rPr>
              <w:t>(</w:t>
            </w:r>
            <w:r w:rsidRPr="006D61BD">
              <w:rPr>
                <w:color w:val="FFFFFF" w:themeColor="background1"/>
                <w:sz w:val="20"/>
              </w:rPr>
              <w:t>f</w:t>
            </w:r>
            <w:r w:rsidR="00C353EE" w:rsidRPr="006D61BD">
              <w:rPr>
                <w:color w:val="FFFFFF" w:themeColor="background1"/>
                <w:sz w:val="20"/>
              </w:rPr>
              <w:t>t</w:t>
            </w:r>
            <w:r w:rsidRPr="006D61BD">
              <w:rPr>
                <w:bCs/>
                <w:color w:val="FFFFFF" w:themeColor="background1"/>
                <w:sz w:val="20"/>
              </w:rPr>
              <w:t>)</w:t>
            </w:r>
          </w:p>
        </w:tc>
        <w:tc>
          <w:tcPr>
            <w:tcW w:w="1166" w:type="dxa"/>
            <w:tcBorders>
              <w:top w:val="single" w:sz="4" w:space="0" w:color="FFFFFF" w:themeColor="background1"/>
              <w:left w:val="single" w:sz="4" w:space="0" w:color="FFFFFF" w:themeColor="background1"/>
              <w:bottom w:val="nil"/>
              <w:right w:val="single" w:sz="4" w:space="0" w:color="FFFFFF" w:themeColor="background1"/>
            </w:tcBorders>
            <w:shd w:val="clear" w:color="auto" w:fill="000090"/>
            <w:vAlign w:val="center"/>
          </w:tcPr>
          <w:p w14:paraId="3FEA529C" w14:textId="77777777" w:rsidR="00C353EE" w:rsidRPr="006D61BD" w:rsidRDefault="009E68C4">
            <w:pPr>
              <w:pStyle w:val="StyleBodyText12ptJustified"/>
              <w:jc w:val="center"/>
              <w:rPr>
                <w:color w:val="FFFFFF" w:themeColor="background1"/>
                <w:sz w:val="20"/>
              </w:rPr>
            </w:pPr>
            <w:r w:rsidRPr="006D61BD">
              <w:rPr>
                <w:bCs/>
                <w:color w:val="FFFFFF" w:themeColor="background1"/>
                <w:sz w:val="20"/>
              </w:rPr>
              <w:t>(</w:t>
            </w:r>
            <w:r w:rsidR="00C353EE" w:rsidRPr="006D61BD">
              <w:rPr>
                <w:color w:val="FFFFFF" w:themeColor="background1"/>
                <w:sz w:val="20"/>
              </w:rPr>
              <w:t>gpm/ft</w:t>
            </w:r>
            <w:r w:rsidRPr="006D61BD">
              <w:rPr>
                <w:bCs/>
                <w:color w:val="FFFFFF" w:themeColor="background1"/>
                <w:sz w:val="20"/>
              </w:rPr>
              <w:t>)</w:t>
            </w:r>
          </w:p>
        </w:tc>
        <w:tc>
          <w:tcPr>
            <w:tcW w:w="1166" w:type="dxa"/>
            <w:tcBorders>
              <w:top w:val="single" w:sz="4" w:space="0" w:color="FFFFFF" w:themeColor="background1"/>
              <w:left w:val="single" w:sz="4" w:space="0" w:color="FFFFFF" w:themeColor="background1"/>
              <w:bottom w:val="nil"/>
              <w:right w:val="single" w:sz="8" w:space="0" w:color="000090"/>
            </w:tcBorders>
            <w:shd w:val="clear" w:color="auto" w:fill="000090"/>
            <w:vAlign w:val="center"/>
          </w:tcPr>
          <w:p w14:paraId="1B6FFC1F" w14:textId="22AD502F" w:rsidR="00C353EE" w:rsidRPr="006D61BD" w:rsidRDefault="009E68C4">
            <w:pPr>
              <w:pStyle w:val="StyleBodyText12ptJustified"/>
              <w:jc w:val="center"/>
              <w:rPr>
                <w:color w:val="FFFFFF" w:themeColor="background1"/>
                <w:sz w:val="20"/>
              </w:rPr>
            </w:pPr>
            <w:r w:rsidRPr="006D61BD">
              <w:rPr>
                <w:bCs/>
                <w:color w:val="FFFFFF" w:themeColor="background1"/>
                <w:sz w:val="20"/>
              </w:rPr>
              <w:t>(</w:t>
            </w:r>
            <w:r w:rsidR="00C353EE" w:rsidRPr="006D61BD">
              <w:rPr>
                <w:bCs/>
                <w:color w:val="FFFFFF" w:themeColor="background1"/>
                <w:sz w:val="20"/>
              </w:rPr>
              <w:t>%</w:t>
            </w:r>
            <w:r w:rsidRPr="006D61BD">
              <w:rPr>
                <w:bCs/>
                <w:color w:val="FFFFFF" w:themeColor="background1"/>
                <w:sz w:val="20"/>
              </w:rPr>
              <w:t>)</w:t>
            </w:r>
          </w:p>
        </w:tc>
      </w:tr>
      <w:tr w:rsidR="00C353EE" w14:paraId="2535DB66" w14:textId="77777777" w:rsidTr="006D61BD">
        <w:trPr>
          <w:trHeight w:hRule="exact" w:val="360"/>
          <w:jc w:val="center"/>
        </w:trPr>
        <w:tc>
          <w:tcPr>
            <w:tcW w:w="0" w:type="auto"/>
            <w:tcBorders>
              <w:top w:val="nil"/>
              <w:left w:val="single" w:sz="8" w:space="0" w:color="000090"/>
              <w:bottom w:val="single" w:sz="8" w:space="0" w:color="000090"/>
              <w:right w:val="single" w:sz="8" w:space="0" w:color="000090"/>
            </w:tcBorders>
            <w:vAlign w:val="center"/>
          </w:tcPr>
          <w:p w14:paraId="420B7AFA" w14:textId="77777777" w:rsidR="00C353EE" w:rsidRPr="007A08C6" w:rsidRDefault="00C353EE" w:rsidP="00DF7CD6">
            <w:pPr>
              <w:pStyle w:val="StyleBodyText12ptJustified"/>
              <w:jc w:val="center"/>
              <w:rPr>
                <w:sz w:val="20"/>
              </w:rPr>
            </w:pPr>
            <w:r w:rsidRPr="007A08C6">
              <w:rPr>
                <w:sz w:val="20"/>
              </w:rPr>
              <w:t>Flagler 2A</w:t>
            </w:r>
          </w:p>
        </w:tc>
        <w:tc>
          <w:tcPr>
            <w:tcW w:w="1089" w:type="dxa"/>
            <w:tcBorders>
              <w:top w:val="nil"/>
              <w:left w:val="single" w:sz="8" w:space="0" w:color="000090"/>
              <w:bottom w:val="single" w:sz="8" w:space="0" w:color="000090"/>
              <w:right w:val="single" w:sz="8" w:space="0" w:color="000090"/>
            </w:tcBorders>
            <w:vAlign w:val="center"/>
          </w:tcPr>
          <w:p w14:paraId="4D799373" w14:textId="77777777" w:rsidR="00C353EE" w:rsidRPr="007A08C6" w:rsidRDefault="00C353EE" w:rsidP="00DF7CD6">
            <w:pPr>
              <w:pStyle w:val="StyleBodyText12ptJustified"/>
              <w:jc w:val="center"/>
              <w:rPr>
                <w:sz w:val="20"/>
              </w:rPr>
            </w:pPr>
            <w:r>
              <w:rPr>
                <w:sz w:val="20"/>
              </w:rPr>
              <w:t>Feb. 2012</w:t>
            </w:r>
          </w:p>
        </w:tc>
        <w:tc>
          <w:tcPr>
            <w:tcW w:w="1292" w:type="dxa"/>
            <w:tcBorders>
              <w:top w:val="nil"/>
              <w:left w:val="single" w:sz="8" w:space="0" w:color="000090"/>
              <w:bottom w:val="single" w:sz="8" w:space="0" w:color="000090"/>
              <w:right w:val="single" w:sz="8" w:space="0" w:color="000090"/>
            </w:tcBorders>
            <w:vAlign w:val="center"/>
          </w:tcPr>
          <w:p w14:paraId="4C1A7952" w14:textId="77777777" w:rsidR="00C353EE" w:rsidRPr="007A08C6" w:rsidRDefault="00C353EE" w:rsidP="009E68C4">
            <w:pPr>
              <w:pStyle w:val="StyleBodyText12ptJustified"/>
              <w:jc w:val="center"/>
              <w:rPr>
                <w:sz w:val="20"/>
              </w:rPr>
            </w:pPr>
            <w:r>
              <w:rPr>
                <w:sz w:val="20"/>
              </w:rPr>
              <w:t>24.8</w:t>
            </w:r>
          </w:p>
        </w:tc>
        <w:tc>
          <w:tcPr>
            <w:tcW w:w="630" w:type="dxa"/>
            <w:tcBorders>
              <w:top w:val="nil"/>
              <w:left w:val="single" w:sz="8" w:space="0" w:color="000090"/>
              <w:bottom w:val="single" w:sz="8" w:space="0" w:color="000090"/>
              <w:right w:val="single" w:sz="8" w:space="0" w:color="000090"/>
            </w:tcBorders>
            <w:vAlign w:val="center"/>
          </w:tcPr>
          <w:p w14:paraId="2EAD10C3" w14:textId="77777777" w:rsidR="00C353EE" w:rsidRPr="007A08C6" w:rsidRDefault="00C353EE" w:rsidP="009E68C4">
            <w:pPr>
              <w:pStyle w:val="StyleBodyText12ptJustified"/>
              <w:jc w:val="center"/>
              <w:rPr>
                <w:sz w:val="20"/>
              </w:rPr>
            </w:pPr>
            <w:r>
              <w:rPr>
                <w:sz w:val="20"/>
              </w:rPr>
              <w:t>503</w:t>
            </w:r>
          </w:p>
        </w:tc>
        <w:tc>
          <w:tcPr>
            <w:tcW w:w="1168" w:type="dxa"/>
            <w:tcBorders>
              <w:top w:val="nil"/>
              <w:left w:val="single" w:sz="8" w:space="0" w:color="000090"/>
              <w:bottom w:val="single" w:sz="8" w:space="0" w:color="000090"/>
              <w:right w:val="single" w:sz="8" w:space="0" w:color="000090"/>
            </w:tcBorders>
            <w:vAlign w:val="center"/>
          </w:tcPr>
          <w:p w14:paraId="4068D7BD" w14:textId="77777777" w:rsidR="00C353EE" w:rsidRPr="007A08C6" w:rsidRDefault="00C353EE" w:rsidP="009E68C4">
            <w:pPr>
              <w:pStyle w:val="StyleBodyText12ptJustified"/>
              <w:jc w:val="center"/>
              <w:rPr>
                <w:sz w:val="20"/>
              </w:rPr>
            </w:pPr>
            <w:r>
              <w:rPr>
                <w:sz w:val="20"/>
              </w:rPr>
              <w:t>7.4</w:t>
            </w:r>
          </w:p>
        </w:tc>
        <w:tc>
          <w:tcPr>
            <w:tcW w:w="1166" w:type="dxa"/>
            <w:tcBorders>
              <w:top w:val="nil"/>
              <w:left w:val="single" w:sz="8" w:space="0" w:color="000090"/>
              <w:bottom w:val="single" w:sz="8" w:space="0" w:color="000090"/>
              <w:right w:val="single" w:sz="8" w:space="0" w:color="000090"/>
            </w:tcBorders>
            <w:vAlign w:val="center"/>
          </w:tcPr>
          <w:p w14:paraId="112951C4" w14:textId="77777777" w:rsidR="00C353EE" w:rsidRPr="007A08C6" w:rsidRDefault="00C353EE" w:rsidP="009E68C4">
            <w:pPr>
              <w:pStyle w:val="StyleBodyText12ptJustified"/>
              <w:jc w:val="center"/>
              <w:rPr>
                <w:sz w:val="20"/>
              </w:rPr>
            </w:pPr>
            <w:r>
              <w:rPr>
                <w:sz w:val="20"/>
              </w:rPr>
              <w:t>68</w:t>
            </w:r>
          </w:p>
        </w:tc>
        <w:tc>
          <w:tcPr>
            <w:tcW w:w="1166" w:type="dxa"/>
            <w:tcBorders>
              <w:top w:val="nil"/>
              <w:left w:val="single" w:sz="8" w:space="0" w:color="000090"/>
              <w:bottom w:val="single" w:sz="8" w:space="0" w:color="000090"/>
              <w:right w:val="single" w:sz="8" w:space="0" w:color="000090"/>
            </w:tcBorders>
            <w:vAlign w:val="center"/>
          </w:tcPr>
          <w:p w14:paraId="79329973" w14:textId="77777777" w:rsidR="00C353EE" w:rsidRPr="007A08C6" w:rsidRDefault="00C353EE" w:rsidP="0035127C">
            <w:pPr>
              <w:pStyle w:val="StyleBodyText12ptJustified"/>
              <w:jc w:val="center"/>
              <w:rPr>
                <w:rFonts w:eastAsia="Times New Roman" w:cs="Times New Roman"/>
                <w:sz w:val="20"/>
              </w:rPr>
            </w:pPr>
            <w:r>
              <w:rPr>
                <w:sz w:val="20"/>
              </w:rPr>
              <w:t>74</w:t>
            </w:r>
          </w:p>
        </w:tc>
      </w:tr>
      <w:tr w:rsidR="00C353EE" w14:paraId="20ADD157" w14:textId="77777777" w:rsidTr="00DF7CD6">
        <w:trPr>
          <w:trHeight w:hRule="exact" w:val="360"/>
          <w:jc w:val="center"/>
        </w:trPr>
        <w:tc>
          <w:tcPr>
            <w:tcW w:w="0" w:type="auto"/>
            <w:tcBorders>
              <w:top w:val="single" w:sz="8" w:space="0" w:color="000090"/>
              <w:left w:val="single" w:sz="8" w:space="0" w:color="000090"/>
              <w:bottom w:val="single" w:sz="8" w:space="0" w:color="000090"/>
              <w:right w:val="single" w:sz="8" w:space="0" w:color="000090"/>
            </w:tcBorders>
            <w:vAlign w:val="center"/>
          </w:tcPr>
          <w:p w14:paraId="1E2E8D08" w14:textId="77777777" w:rsidR="00C353EE" w:rsidRPr="007A08C6" w:rsidRDefault="00C353EE" w:rsidP="00DF7CD6">
            <w:pPr>
              <w:pStyle w:val="StyleBodyText12ptJustified"/>
              <w:jc w:val="center"/>
              <w:rPr>
                <w:sz w:val="20"/>
              </w:rPr>
            </w:pPr>
            <w:r w:rsidRPr="007A08C6">
              <w:rPr>
                <w:sz w:val="20"/>
              </w:rPr>
              <w:t>Flagler 3A</w:t>
            </w:r>
          </w:p>
        </w:tc>
        <w:tc>
          <w:tcPr>
            <w:tcW w:w="1089" w:type="dxa"/>
            <w:tcBorders>
              <w:top w:val="single" w:sz="8" w:space="0" w:color="000090"/>
              <w:left w:val="single" w:sz="8" w:space="0" w:color="000090"/>
              <w:bottom w:val="single" w:sz="8" w:space="0" w:color="000090"/>
              <w:right w:val="single" w:sz="8" w:space="0" w:color="000090"/>
            </w:tcBorders>
            <w:vAlign w:val="center"/>
          </w:tcPr>
          <w:p w14:paraId="7AE52F7D" w14:textId="77777777" w:rsidR="00C353EE" w:rsidRPr="007A08C6" w:rsidRDefault="00C353EE" w:rsidP="00DF7CD6">
            <w:pPr>
              <w:pStyle w:val="StyleBodyText12ptJustified"/>
              <w:jc w:val="center"/>
              <w:rPr>
                <w:sz w:val="20"/>
              </w:rPr>
            </w:pPr>
            <w:r>
              <w:rPr>
                <w:sz w:val="20"/>
              </w:rPr>
              <w:t>Feb. 2012</w:t>
            </w:r>
          </w:p>
        </w:tc>
        <w:tc>
          <w:tcPr>
            <w:tcW w:w="1292" w:type="dxa"/>
            <w:tcBorders>
              <w:top w:val="single" w:sz="8" w:space="0" w:color="000090"/>
              <w:left w:val="single" w:sz="8" w:space="0" w:color="000090"/>
              <w:bottom w:val="single" w:sz="8" w:space="0" w:color="000090"/>
              <w:right w:val="single" w:sz="8" w:space="0" w:color="000090"/>
            </w:tcBorders>
            <w:vAlign w:val="center"/>
          </w:tcPr>
          <w:p w14:paraId="455BC878" w14:textId="77777777" w:rsidR="00C353EE" w:rsidRPr="007A08C6" w:rsidRDefault="00C353EE" w:rsidP="009E68C4">
            <w:pPr>
              <w:pStyle w:val="StyleBodyText12ptJustified"/>
              <w:jc w:val="center"/>
              <w:rPr>
                <w:sz w:val="20"/>
              </w:rPr>
            </w:pPr>
            <w:r>
              <w:rPr>
                <w:sz w:val="20"/>
              </w:rPr>
              <w:t>23.8</w:t>
            </w:r>
          </w:p>
        </w:tc>
        <w:tc>
          <w:tcPr>
            <w:tcW w:w="630" w:type="dxa"/>
            <w:tcBorders>
              <w:top w:val="single" w:sz="8" w:space="0" w:color="000090"/>
              <w:left w:val="single" w:sz="8" w:space="0" w:color="000090"/>
              <w:bottom w:val="single" w:sz="8" w:space="0" w:color="000090"/>
              <w:right w:val="single" w:sz="8" w:space="0" w:color="000090"/>
            </w:tcBorders>
            <w:vAlign w:val="center"/>
          </w:tcPr>
          <w:p w14:paraId="6D267962" w14:textId="77777777" w:rsidR="00C353EE" w:rsidRPr="007A08C6" w:rsidRDefault="00C353EE" w:rsidP="009E68C4">
            <w:pPr>
              <w:pStyle w:val="StyleBodyText12ptJustified"/>
              <w:jc w:val="center"/>
              <w:rPr>
                <w:sz w:val="20"/>
              </w:rPr>
            </w:pPr>
            <w:r>
              <w:rPr>
                <w:sz w:val="20"/>
              </w:rPr>
              <w:t>724</w:t>
            </w:r>
          </w:p>
        </w:tc>
        <w:tc>
          <w:tcPr>
            <w:tcW w:w="1168" w:type="dxa"/>
            <w:tcBorders>
              <w:top w:val="single" w:sz="8" w:space="0" w:color="000090"/>
              <w:left w:val="single" w:sz="8" w:space="0" w:color="000090"/>
              <w:bottom w:val="single" w:sz="8" w:space="0" w:color="000090"/>
              <w:right w:val="single" w:sz="8" w:space="0" w:color="000090"/>
            </w:tcBorders>
            <w:vAlign w:val="center"/>
          </w:tcPr>
          <w:p w14:paraId="780BA3FA" w14:textId="77777777" w:rsidR="00C353EE" w:rsidRPr="007A08C6" w:rsidRDefault="00C353EE" w:rsidP="009E68C4">
            <w:pPr>
              <w:pStyle w:val="StyleBodyText12ptJustified"/>
              <w:jc w:val="center"/>
              <w:rPr>
                <w:sz w:val="20"/>
              </w:rPr>
            </w:pPr>
            <w:r>
              <w:rPr>
                <w:sz w:val="20"/>
              </w:rPr>
              <w:t>7.4</w:t>
            </w:r>
          </w:p>
        </w:tc>
        <w:tc>
          <w:tcPr>
            <w:tcW w:w="1166" w:type="dxa"/>
            <w:tcBorders>
              <w:top w:val="single" w:sz="8" w:space="0" w:color="000090"/>
              <w:left w:val="single" w:sz="8" w:space="0" w:color="000090"/>
              <w:bottom w:val="single" w:sz="8" w:space="0" w:color="000090"/>
              <w:right w:val="single" w:sz="8" w:space="0" w:color="000090"/>
            </w:tcBorders>
            <w:vAlign w:val="center"/>
          </w:tcPr>
          <w:p w14:paraId="719EA5ED" w14:textId="77777777" w:rsidR="00C353EE" w:rsidRPr="007A08C6" w:rsidRDefault="00C353EE" w:rsidP="009E68C4">
            <w:pPr>
              <w:pStyle w:val="StyleBodyText12ptJustified"/>
              <w:jc w:val="center"/>
              <w:rPr>
                <w:sz w:val="20"/>
              </w:rPr>
            </w:pPr>
            <w:r>
              <w:rPr>
                <w:sz w:val="20"/>
              </w:rPr>
              <w:t>98</w:t>
            </w:r>
          </w:p>
        </w:tc>
        <w:tc>
          <w:tcPr>
            <w:tcW w:w="1166" w:type="dxa"/>
            <w:tcBorders>
              <w:top w:val="single" w:sz="8" w:space="0" w:color="000090"/>
              <w:left w:val="single" w:sz="8" w:space="0" w:color="000090"/>
              <w:bottom w:val="single" w:sz="8" w:space="0" w:color="000090"/>
              <w:right w:val="single" w:sz="8" w:space="0" w:color="000090"/>
            </w:tcBorders>
            <w:vAlign w:val="center"/>
          </w:tcPr>
          <w:p w14:paraId="6E507BE4" w14:textId="77777777" w:rsidR="00C353EE" w:rsidRPr="007A08C6" w:rsidRDefault="00C353EE" w:rsidP="0035127C">
            <w:pPr>
              <w:pStyle w:val="StyleBodyText12ptJustified"/>
              <w:jc w:val="center"/>
              <w:rPr>
                <w:rFonts w:eastAsia="Times New Roman" w:cs="Times New Roman"/>
                <w:sz w:val="20"/>
              </w:rPr>
            </w:pPr>
            <w:r>
              <w:rPr>
                <w:sz w:val="20"/>
              </w:rPr>
              <w:t>68</w:t>
            </w:r>
          </w:p>
        </w:tc>
      </w:tr>
      <w:tr w:rsidR="00C353EE" w14:paraId="31172FD5" w14:textId="77777777" w:rsidTr="00DF7CD6">
        <w:trPr>
          <w:trHeight w:hRule="exact" w:val="360"/>
          <w:jc w:val="center"/>
        </w:trPr>
        <w:tc>
          <w:tcPr>
            <w:tcW w:w="0" w:type="auto"/>
            <w:tcBorders>
              <w:top w:val="single" w:sz="8" w:space="0" w:color="000090"/>
              <w:left w:val="single" w:sz="8" w:space="0" w:color="000090"/>
              <w:bottom w:val="single" w:sz="8" w:space="0" w:color="000090"/>
              <w:right w:val="single" w:sz="8" w:space="0" w:color="000090"/>
            </w:tcBorders>
            <w:vAlign w:val="center"/>
          </w:tcPr>
          <w:p w14:paraId="4744C5A8" w14:textId="77777777" w:rsidR="00C353EE" w:rsidRPr="007A08C6" w:rsidRDefault="00C353EE" w:rsidP="00DF7CD6">
            <w:pPr>
              <w:pStyle w:val="StyleBodyText12ptJustified"/>
              <w:jc w:val="center"/>
              <w:rPr>
                <w:sz w:val="20"/>
              </w:rPr>
            </w:pPr>
            <w:r w:rsidRPr="007A08C6">
              <w:rPr>
                <w:sz w:val="20"/>
              </w:rPr>
              <w:t>Gregory 1</w:t>
            </w:r>
          </w:p>
        </w:tc>
        <w:tc>
          <w:tcPr>
            <w:tcW w:w="1089" w:type="dxa"/>
            <w:tcBorders>
              <w:top w:val="single" w:sz="8" w:space="0" w:color="000090"/>
              <w:left w:val="single" w:sz="8" w:space="0" w:color="000090"/>
              <w:bottom w:val="single" w:sz="8" w:space="0" w:color="000090"/>
              <w:right w:val="single" w:sz="8" w:space="0" w:color="000090"/>
            </w:tcBorders>
            <w:vAlign w:val="center"/>
          </w:tcPr>
          <w:p w14:paraId="345F89B6" w14:textId="77777777" w:rsidR="00C353EE" w:rsidRPr="007A08C6" w:rsidRDefault="00C353EE" w:rsidP="00DF7CD6">
            <w:pPr>
              <w:pStyle w:val="StyleBodyText12ptJustified"/>
              <w:jc w:val="center"/>
              <w:rPr>
                <w:sz w:val="20"/>
              </w:rPr>
            </w:pPr>
            <w:r>
              <w:rPr>
                <w:sz w:val="20"/>
              </w:rPr>
              <w:t>Jul. 2013</w:t>
            </w:r>
          </w:p>
        </w:tc>
        <w:tc>
          <w:tcPr>
            <w:tcW w:w="1292" w:type="dxa"/>
            <w:tcBorders>
              <w:top w:val="single" w:sz="8" w:space="0" w:color="000090"/>
              <w:left w:val="single" w:sz="8" w:space="0" w:color="000090"/>
              <w:bottom w:val="single" w:sz="8" w:space="0" w:color="000090"/>
              <w:right w:val="single" w:sz="8" w:space="0" w:color="000090"/>
            </w:tcBorders>
            <w:vAlign w:val="center"/>
          </w:tcPr>
          <w:p w14:paraId="5032D020" w14:textId="77777777" w:rsidR="00C353EE" w:rsidRPr="007A08C6" w:rsidRDefault="006B6163" w:rsidP="009E68C4">
            <w:pPr>
              <w:pStyle w:val="StyleBodyText12ptJustified"/>
              <w:jc w:val="center"/>
              <w:rPr>
                <w:sz w:val="20"/>
              </w:rPr>
            </w:pPr>
            <w:r>
              <w:rPr>
                <w:sz w:val="20"/>
              </w:rPr>
              <w:t>11.0*</w:t>
            </w:r>
          </w:p>
        </w:tc>
        <w:tc>
          <w:tcPr>
            <w:tcW w:w="630" w:type="dxa"/>
            <w:tcBorders>
              <w:top w:val="single" w:sz="8" w:space="0" w:color="000090"/>
              <w:left w:val="single" w:sz="8" w:space="0" w:color="000090"/>
              <w:bottom w:val="single" w:sz="8" w:space="0" w:color="000090"/>
              <w:right w:val="single" w:sz="8" w:space="0" w:color="000090"/>
            </w:tcBorders>
            <w:vAlign w:val="center"/>
          </w:tcPr>
          <w:p w14:paraId="486740A1" w14:textId="77777777" w:rsidR="00C353EE" w:rsidRPr="007A08C6" w:rsidRDefault="00C353EE" w:rsidP="009E68C4">
            <w:pPr>
              <w:pStyle w:val="StyleBodyText12ptJustified"/>
              <w:jc w:val="center"/>
              <w:rPr>
                <w:sz w:val="20"/>
              </w:rPr>
            </w:pPr>
            <w:r>
              <w:rPr>
                <w:sz w:val="20"/>
              </w:rPr>
              <w:t>159</w:t>
            </w:r>
          </w:p>
        </w:tc>
        <w:tc>
          <w:tcPr>
            <w:tcW w:w="1168" w:type="dxa"/>
            <w:tcBorders>
              <w:top w:val="single" w:sz="8" w:space="0" w:color="000090"/>
              <w:left w:val="single" w:sz="8" w:space="0" w:color="000090"/>
              <w:bottom w:val="single" w:sz="8" w:space="0" w:color="000090"/>
              <w:right w:val="single" w:sz="8" w:space="0" w:color="000090"/>
            </w:tcBorders>
            <w:vAlign w:val="center"/>
          </w:tcPr>
          <w:p w14:paraId="3C2734A2" w14:textId="77777777" w:rsidR="00C353EE" w:rsidRPr="007A08C6" w:rsidRDefault="006B6163" w:rsidP="009E68C4">
            <w:pPr>
              <w:pStyle w:val="StyleBodyText12ptJustified"/>
              <w:jc w:val="center"/>
              <w:rPr>
                <w:sz w:val="20"/>
              </w:rPr>
            </w:pPr>
            <w:r>
              <w:rPr>
                <w:sz w:val="20"/>
              </w:rPr>
              <w:t>16</w:t>
            </w:r>
          </w:p>
        </w:tc>
        <w:tc>
          <w:tcPr>
            <w:tcW w:w="1166" w:type="dxa"/>
            <w:tcBorders>
              <w:top w:val="single" w:sz="8" w:space="0" w:color="000090"/>
              <w:left w:val="single" w:sz="8" w:space="0" w:color="000090"/>
              <w:bottom w:val="single" w:sz="8" w:space="0" w:color="000090"/>
              <w:right w:val="single" w:sz="8" w:space="0" w:color="000090"/>
            </w:tcBorders>
            <w:vAlign w:val="center"/>
          </w:tcPr>
          <w:p w14:paraId="471B0404" w14:textId="77777777" w:rsidR="00C353EE" w:rsidRPr="007A08C6" w:rsidRDefault="006B6163" w:rsidP="009E68C4">
            <w:pPr>
              <w:pStyle w:val="StyleBodyText12ptJustified"/>
              <w:jc w:val="center"/>
              <w:rPr>
                <w:sz w:val="20"/>
              </w:rPr>
            </w:pPr>
            <w:r>
              <w:rPr>
                <w:sz w:val="20"/>
              </w:rPr>
              <w:t>10</w:t>
            </w:r>
          </w:p>
        </w:tc>
        <w:tc>
          <w:tcPr>
            <w:tcW w:w="1166" w:type="dxa"/>
            <w:tcBorders>
              <w:top w:val="single" w:sz="8" w:space="0" w:color="000090"/>
              <w:left w:val="single" w:sz="8" w:space="0" w:color="000090"/>
              <w:bottom w:val="single" w:sz="8" w:space="0" w:color="000090"/>
              <w:right w:val="single" w:sz="8" w:space="0" w:color="000090"/>
            </w:tcBorders>
            <w:vAlign w:val="center"/>
          </w:tcPr>
          <w:p w14:paraId="7275ED22" w14:textId="77777777" w:rsidR="00C353EE" w:rsidRPr="007A08C6" w:rsidRDefault="00C353EE" w:rsidP="0035127C">
            <w:pPr>
              <w:pStyle w:val="StyleBodyText12ptJustified"/>
              <w:jc w:val="center"/>
              <w:rPr>
                <w:rFonts w:eastAsia="Times New Roman" w:cs="Times New Roman"/>
                <w:sz w:val="20"/>
              </w:rPr>
            </w:pPr>
            <w:r>
              <w:rPr>
                <w:sz w:val="20"/>
              </w:rPr>
              <w:t>44</w:t>
            </w:r>
          </w:p>
        </w:tc>
      </w:tr>
      <w:tr w:rsidR="00C353EE" w14:paraId="1B761962" w14:textId="77777777" w:rsidTr="00DF7CD6">
        <w:trPr>
          <w:trHeight w:hRule="exact" w:val="360"/>
          <w:jc w:val="center"/>
        </w:trPr>
        <w:tc>
          <w:tcPr>
            <w:tcW w:w="0" w:type="auto"/>
            <w:tcBorders>
              <w:top w:val="single" w:sz="8" w:space="0" w:color="000090"/>
              <w:left w:val="single" w:sz="8" w:space="0" w:color="000090"/>
              <w:bottom w:val="single" w:sz="8" w:space="0" w:color="000090"/>
              <w:right w:val="single" w:sz="8" w:space="0" w:color="000090"/>
            </w:tcBorders>
            <w:vAlign w:val="center"/>
          </w:tcPr>
          <w:p w14:paraId="6192C93B" w14:textId="77777777" w:rsidR="00C353EE" w:rsidRPr="007A08C6" w:rsidRDefault="00C353EE" w:rsidP="00DF7CD6">
            <w:pPr>
              <w:pStyle w:val="StyleBodyText12ptJustified"/>
              <w:jc w:val="center"/>
              <w:rPr>
                <w:sz w:val="20"/>
              </w:rPr>
            </w:pPr>
            <w:r w:rsidRPr="007A08C6">
              <w:rPr>
                <w:sz w:val="20"/>
              </w:rPr>
              <w:t>Gregory 2</w:t>
            </w:r>
          </w:p>
        </w:tc>
        <w:tc>
          <w:tcPr>
            <w:tcW w:w="1089" w:type="dxa"/>
            <w:tcBorders>
              <w:top w:val="single" w:sz="8" w:space="0" w:color="000090"/>
              <w:left w:val="single" w:sz="8" w:space="0" w:color="000090"/>
              <w:bottom w:val="single" w:sz="8" w:space="0" w:color="000090"/>
              <w:right w:val="single" w:sz="8" w:space="0" w:color="000090"/>
            </w:tcBorders>
            <w:vAlign w:val="center"/>
          </w:tcPr>
          <w:p w14:paraId="573EC7E1" w14:textId="77777777" w:rsidR="00C353EE" w:rsidRPr="007A08C6" w:rsidRDefault="00C353EE" w:rsidP="00DF7CD6">
            <w:pPr>
              <w:pStyle w:val="StyleBodyText12ptJustified"/>
              <w:jc w:val="center"/>
              <w:rPr>
                <w:sz w:val="20"/>
              </w:rPr>
            </w:pPr>
            <w:r>
              <w:rPr>
                <w:sz w:val="20"/>
              </w:rPr>
              <w:t>Jul. 2013</w:t>
            </w:r>
          </w:p>
        </w:tc>
        <w:tc>
          <w:tcPr>
            <w:tcW w:w="1292" w:type="dxa"/>
            <w:tcBorders>
              <w:top w:val="single" w:sz="8" w:space="0" w:color="000090"/>
              <w:left w:val="single" w:sz="8" w:space="0" w:color="000090"/>
              <w:bottom w:val="single" w:sz="8" w:space="0" w:color="000090"/>
              <w:right w:val="single" w:sz="8" w:space="0" w:color="000090"/>
            </w:tcBorders>
            <w:vAlign w:val="center"/>
          </w:tcPr>
          <w:p w14:paraId="1E86EEB6" w14:textId="77777777" w:rsidR="00C353EE" w:rsidRPr="007A08C6" w:rsidRDefault="00C353EE" w:rsidP="009E68C4">
            <w:pPr>
              <w:pStyle w:val="StyleBodyText12ptJustified"/>
              <w:jc w:val="center"/>
              <w:rPr>
                <w:sz w:val="20"/>
              </w:rPr>
            </w:pPr>
            <w:r>
              <w:rPr>
                <w:sz w:val="20"/>
              </w:rPr>
              <w:t>11.0</w:t>
            </w:r>
          </w:p>
        </w:tc>
        <w:tc>
          <w:tcPr>
            <w:tcW w:w="630" w:type="dxa"/>
            <w:tcBorders>
              <w:top w:val="single" w:sz="8" w:space="0" w:color="000090"/>
              <w:left w:val="single" w:sz="8" w:space="0" w:color="000090"/>
              <w:bottom w:val="single" w:sz="8" w:space="0" w:color="000090"/>
              <w:right w:val="single" w:sz="8" w:space="0" w:color="000090"/>
            </w:tcBorders>
            <w:vAlign w:val="center"/>
          </w:tcPr>
          <w:p w14:paraId="39808C24" w14:textId="77777777" w:rsidR="00C353EE" w:rsidRPr="007A08C6" w:rsidRDefault="00C353EE" w:rsidP="009E68C4">
            <w:pPr>
              <w:pStyle w:val="StyleBodyText12ptJustified"/>
              <w:jc w:val="center"/>
              <w:rPr>
                <w:sz w:val="20"/>
              </w:rPr>
            </w:pPr>
            <w:r>
              <w:rPr>
                <w:sz w:val="20"/>
              </w:rPr>
              <w:t>28</w:t>
            </w:r>
          </w:p>
        </w:tc>
        <w:tc>
          <w:tcPr>
            <w:tcW w:w="1168" w:type="dxa"/>
            <w:tcBorders>
              <w:top w:val="single" w:sz="8" w:space="0" w:color="000090"/>
              <w:left w:val="single" w:sz="8" w:space="0" w:color="000090"/>
              <w:bottom w:val="single" w:sz="8" w:space="0" w:color="000090"/>
              <w:right w:val="single" w:sz="8" w:space="0" w:color="000090"/>
            </w:tcBorders>
            <w:vAlign w:val="center"/>
          </w:tcPr>
          <w:p w14:paraId="138D1A9F" w14:textId="77777777" w:rsidR="00C353EE" w:rsidRPr="007A08C6" w:rsidRDefault="00C353EE" w:rsidP="009E68C4">
            <w:pPr>
              <w:pStyle w:val="StyleBodyText12ptJustified"/>
              <w:jc w:val="center"/>
              <w:rPr>
                <w:sz w:val="20"/>
              </w:rPr>
            </w:pPr>
            <w:r>
              <w:rPr>
                <w:sz w:val="20"/>
              </w:rPr>
              <w:t>9.2</w:t>
            </w:r>
          </w:p>
        </w:tc>
        <w:tc>
          <w:tcPr>
            <w:tcW w:w="1166" w:type="dxa"/>
            <w:tcBorders>
              <w:top w:val="single" w:sz="8" w:space="0" w:color="000090"/>
              <w:left w:val="single" w:sz="8" w:space="0" w:color="000090"/>
              <w:bottom w:val="single" w:sz="8" w:space="0" w:color="000090"/>
              <w:right w:val="single" w:sz="8" w:space="0" w:color="000090"/>
            </w:tcBorders>
            <w:vAlign w:val="center"/>
          </w:tcPr>
          <w:p w14:paraId="2742FB90" w14:textId="77777777" w:rsidR="00C353EE" w:rsidRPr="007A08C6" w:rsidRDefault="00C353EE" w:rsidP="009E68C4">
            <w:pPr>
              <w:pStyle w:val="StyleBodyText12ptJustified"/>
              <w:jc w:val="center"/>
              <w:rPr>
                <w:sz w:val="20"/>
              </w:rPr>
            </w:pPr>
            <w:r>
              <w:rPr>
                <w:sz w:val="20"/>
              </w:rPr>
              <w:t>3</w:t>
            </w:r>
          </w:p>
        </w:tc>
        <w:tc>
          <w:tcPr>
            <w:tcW w:w="1166" w:type="dxa"/>
            <w:tcBorders>
              <w:top w:val="single" w:sz="8" w:space="0" w:color="000090"/>
              <w:left w:val="single" w:sz="8" w:space="0" w:color="000090"/>
              <w:bottom w:val="single" w:sz="8" w:space="0" w:color="000090"/>
              <w:right w:val="single" w:sz="8" w:space="0" w:color="000090"/>
            </w:tcBorders>
            <w:vAlign w:val="center"/>
          </w:tcPr>
          <w:p w14:paraId="4FB986D2" w14:textId="77777777" w:rsidR="00C353EE" w:rsidRPr="007A08C6" w:rsidRDefault="00C353EE" w:rsidP="0035127C">
            <w:pPr>
              <w:pStyle w:val="StyleBodyText12ptJustified"/>
              <w:jc w:val="center"/>
              <w:rPr>
                <w:rFonts w:eastAsia="Times New Roman" w:cs="Times New Roman"/>
                <w:sz w:val="20"/>
              </w:rPr>
            </w:pPr>
            <w:r>
              <w:rPr>
                <w:sz w:val="20"/>
              </w:rPr>
              <w:t>24</w:t>
            </w:r>
          </w:p>
        </w:tc>
      </w:tr>
      <w:tr w:rsidR="00C353EE" w14:paraId="6BE368EF" w14:textId="77777777" w:rsidTr="00DF7CD6">
        <w:trPr>
          <w:trHeight w:hRule="exact" w:val="389"/>
          <w:jc w:val="center"/>
        </w:trPr>
        <w:tc>
          <w:tcPr>
            <w:tcW w:w="7659" w:type="dxa"/>
            <w:gridSpan w:val="7"/>
            <w:tcBorders>
              <w:top w:val="single" w:sz="8" w:space="0" w:color="000090"/>
              <w:left w:val="nil"/>
              <w:bottom w:val="nil"/>
              <w:right w:val="nil"/>
            </w:tcBorders>
            <w:vAlign w:val="center"/>
          </w:tcPr>
          <w:p w14:paraId="1CB87814" w14:textId="1485D519" w:rsidR="00C353EE" w:rsidRPr="004B5535" w:rsidRDefault="00C353EE" w:rsidP="00F00C0D">
            <w:pPr>
              <w:pStyle w:val="StyleBodyText12ptJustified"/>
              <w:jc w:val="left"/>
              <w:rPr>
                <w:sz w:val="16"/>
                <w:szCs w:val="16"/>
              </w:rPr>
            </w:pPr>
            <w:r w:rsidRPr="004B5535">
              <w:rPr>
                <w:sz w:val="16"/>
                <w:szCs w:val="16"/>
              </w:rPr>
              <w:t>*</w:t>
            </w:r>
            <w:r w:rsidR="006B6163">
              <w:rPr>
                <w:sz w:val="16"/>
                <w:szCs w:val="16"/>
              </w:rPr>
              <w:t xml:space="preserve">Static water level was not obtained at the start of the test. Because of the proximity to Gregory 2, </w:t>
            </w:r>
            <w:r w:rsidR="00F00C0D">
              <w:rPr>
                <w:sz w:val="16"/>
                <w:szCs w:val="16"/>
              </w:rPr>
              <w:t>it was assumed that</w:t>
            </w:r>
            <w:r w:rsidR="006B6163">
              <w:rPr>
                <w:sz w:val="16"/>
                <w:szCs w:val="16"/>
              </w:rPr>
              <w:t xml:space="preserve"> the static water level in Gregory 1 </w:t>
            </w:r>
            <w:r w:rsidR="004C290E">
              <w:rPr>
                <w:sz w:val="16"/>
                <w:szCs w:val="16"/>
              </w:rPr>
              <w:t>wa</w:t>
            </w:r>
            <w:r w:rsidR="006B6163">
              <w:rPr>
                <w:sz w:val="16"/>
                <w:szCs w:val="16"/>
              </w:rPr>
              <w:t>s the same.</w:t>
            </w:r>
          </w:p>
        </w:tc>
      </w:tr>
    </w:tbl>
    <w:p w14:paraId="0E3D9895" w14:textId="77777777" w:rsidR="00C353EE" w:rsidRDefault="00C353EE" w:rsidP="00C353EE">
      <w:pPr>
        <w:pStyle w:val="StyleBodyText12ptJustified"/>
      </w:pPr>
    </w:p>
    <w:p w14:paraId="6C133410" w14:textId="77777777" w:rsidR="00C353EE" w:rsidRDefault="00C353EE" w:rsidP="00913EC8">
      <w:pPr>
        <w:pStyle w:val="StyleBodyText12ptJustified"/>
      </w:pPr>
      <w:r>
        <w:t xml:space="preserve">Using the specific capacity data reported from the efficiency testing, the aquifer transmissivity can be estimated around each well </w:t>
      </w:r>
      <w:r w:rsidRPr="00B51B43">
        <w:t>using Driscoll’s (1986)</w:t>
      </w:r>
      <w:r>
        <w:t xml:space="preserve"> equation for estimating transmissivity from a well’s specific capacity. For an unconfined aquifer the equation is:</w:t>
      </w:r>
    </w:p>
    <w:p w14:paraId="37C142E6" w14:textId="77777777" w:rsidR="00C353EE" w:rsidRPr="00AC7BCB" w:rsidRDefault="00C353EE" w:rsidP="00C353EE">
      <w:pPr>
        <w:pStyle w:val="StyleBodyText12ptJustified"/>
        <w:jc w:val="center"/>
        <w:rPr>
          <w:i/>
        </w:rPr>
      </w:pPr>
      <w:r w:rsidRPr="00AC7BCB">
        <w:rPr>
          <w:i/>
        </w:rPr>
        <w:t>T = 1500 (Q/Sw)</w:t>
      </w:r>
    </w:p>
    <w:p w14:paraId="0C30396A" w14:textId="77777777" w:rsidR="003E4CAE" w:rsidRDefault="00C353EE" w:rsidP="00C353EE">
      <w:pPr>
        <w:pStyle w:val="StyleBodyText12ptJustified"/>
      </w:pPr>
      <w:r>
        <w:t>Where T is the transmissivity (gal/day/ft), Q is the constant discharge</w:t>
      </w:r>
      <w:r w:rsidR="003E4CAE">
        <w:t xml:space="preserve"> rate</w:t>
      </w:r>
      <w:r>
        <w:t xml:space="preserve"> (gal/min), and Sw is the drawdown in the pumped well after 24 hours. </w:t>
      </w:r>
    </w:p>
    <w:p w14:paraId="31175267" w14:textId="77777777" w:rsidR="00C353EE" w:rsidRDefault="00C353EE" w:rsidP="00913EC8">
      <w:pPr>
        <w:pStyle w:val="StyleBodyText12ptJustified"/>
      </w:pPr>
      <w:r>
        <w:t>The hydraulic conductivity can also be calculated from transmissivity using the following equation:</w:t>
      </w:r>
    </w:p>
    <w:p w14:paraId="66C10A6A" w14:textId="77777777" w:rsidR="00C353EE" w:rsidRPr="00AC7BCB" w:rsidRDefault="00C353EE" w:rsidP="00C353EE">
      <w:pPr>
        <w:pStyle w:val="StyleBodyText12ptJustified"/>
        <w:jc w:val="center"/>
        <w:rPr>
          <w:i/>
        </w:rPr>
      </w:pPr>
      <w:r w:rsidRPr="00AC7BCB">
        <w:rPr>
          <w:i/>
        </w:rPr>
        <w:t>K = T/b</w:t>
      </w:r>
    </w:p>
    <w:p w14:paraId="16B96BE9" w14:textId="23A13037" w:rsidR="00C353EE" w:rsidRDefault="00C353EE" w:rsidP="00C353EE">
      <w:pPr>
        <w:pStyle w:val="StyleBodyText12ptJustified"/>
      </w:pPr>
      <w:r>
        <w:t xml:space="preserve">Where K is the hydraulic conductivity </w:t>
      </w:r>
      <w:r w:rsidR="00EF0553">
        <w:t xml:space="preserve">(ft/day) </w:t>
      </w:r>
      <w:r>
        <w:t xml:space="preserve">and b is the saturated thickness (feet). The K value estimated is only representative near each well. The estimated </w:t>
      </w:r>
      <w:r w:rsidR="003E4CAE">
        <w:t>T</w:t>
      </w:r>
      <w:r>
        <w:t xml:space="preserve"> and </w:t>
      </w:r>
      <w:r w:rsidR="003E4CAE">
        <w:t>K</w:t>
      </w:r>
      <w:r>
        <w:t xml:space="preserve"> values for Flagler 2A, Flagler 3A, and Gregory 2 are</w:t>
      </w:r>
      <w:r w:rsidR="00F00C0D">
        <w:t>:</w:t>
      </w:r>
      <w:r>
        <w:t xml:space="preserve"> </w:t>
      </w:r>
    </w:p>
    <w:p w14:paraId="626D9698" w14:textId="77777777" w:rsidR="00C353EE" w:rsidRPr="00B51B43" w:rsidRDefault="00C353EE" w:rsidP="00C353EE">
      <w:pPr>
        <w:pStyle w:val="Caption"/>
        <w:keepNext/>
        <w:jc w:val="center"/>
        <w:rPr>
          <w:rFonts w:asciiTheme="majorHAnsi" w:hAnsiTheme="majorHAnsi"/>
          <w:sz w:val="20"/>
        </w:rPr>
      </w:pPr>
      <w:r w:rsidRPr="00B51B43">
        <w:rPr>
          <w:rFonts w:asciiTheme="majorHAnsi" w:hAnsiTheme="majorHAnsi"/>
          <w:sz w:val="20"/>
        </w:rPr>
        <w:t>Summary of Hydraulic Properties</w:t>
      </w:r>
    </w:p>
    <w:tbl>
      <w:tblPr>
        <w:tblStyle w:val="TableGrid"/>
        <w:tblW w:w="0" w:type="auto"/>
        <w:jc w:val="center"/>
        <w:tblBorders>
          <w:top w:val="single" w:sz="8" w:space="0" w:color="000090"/>
          <w:left w:val="single" w:sz="8" w:space="0" w:color="000090"/>
          <w:bottom w:val="single" w:sz="8" w:space="0" w:color="000090"/>
          <w:right w:val="single" w:sz="8" w:space="0" w:color="000090"/>
          <w:insideH w:val="single" w:sz="8" w:space="0" w:color="000090"/>
          <w:insideV w:val="single" w:sz="8" w:space="0" w:color="000090"/>
        </w:tblBorders>
        <w:tblLook w:val="04A0" w:firstRow="1" w:lastRow="0" w:firstColumn="1" w:lastColumn="0" w:noHBand="0" w:noVBand="1"/>
      </w:tblPr>
      <w:tblGrid>
        <w:gridCol w:w="1089"/>
        <w:gridCol w:w="1089"/>
        <w:gridCol w:w="1149"/>
        <w:gridCol w:w="1592"/>
        <w:gridCol w:w="1383"/>
      </w:tblGrid>
      <w:tr w:rsidR="009E68C4" w:rsidRPr="009E68C4" w14:paraId="6AD7A4F0" w14:textId="77777777" w:rsidTr="006D61BD">
        <w:trPr>
          <w:trHeight w:hRule="exact" w:val="504"/>
          <w:jc w:val="center"/>
        </w:trPr>
        <w:tc>
          <w:tcPr>
            <w:tcW w:w="0" w:type="auto"/>
            <w:vMerge w:val="restart"/>
            <w:tcBorders>
              <w:bottom w:val="nil"/>
              <w:right w:val="single" w:sz="4" w:space="0" w:color="FFFFFF" w:themeColor="background1"/>
            </w:tcBorders>
            <w:shd w:val="clear" w:color="auto" w:fill="000090"/>
            <w:vAlign w:val="center"/>
          </w:tcPr>
          <w:p w14:paraId="213733F7" w14:textId="77777777" w:rsidR="00C353EE" w:rsidRPr="00DD2A88" w:rsidRDefault="00C353EE" w:rsidP="006D61BD">
            <w:pPr>
              <w:pStyle w:val="StyleBodyText12ptJustified"/>
              <w:keepNext/>
              <w:jc w:val="center"/>
              <w:rPr>
                <w:b/>
                <w:color w:val="FFFFFF" w:themeColor="background1"/>
                <w:sz w:val="20"/>
              </w:rPr>
            </w:pPr>
            <w:r w:rsidRPr="00DD2A88">
              <w:rPr>
                <w:b/>
                <w:color w:val="FFFFFF" w:themeColor="background1"/>
                <w:sz w:val="20"/>
              </w:rPr>
              <w:t>Well</w:t>
            </w:r>
          </w:p>
        </w:tc>
        <w:tc>
          <w:tcPr>
            <w:tcW w:w="1089" w:type="dxa"/>
            <w:tcBorders>
              <w:left w:val="single" w:sz="4" w:space="0" w:color="FFFFFF" w:themeColor="background1"/>
              <w:bottom w:val="single" w:sz="4" w:space="0" w:color="FFFFFF" w:themeColor="background1"/>
              <w:right w:val="single" w:sz="4" w:space="0" w:color="FFFFFF" w:themeColor="background1"/>
            </w:tcBorders>
            <w:shd w:val="clear" w:color="auto" w:fill="000090"/>
          </w:tcPr>
          <w:p w14:paraId="5DD1500A" w14:textId="77777777" w:rsidR="00C353EE" w:rsidRPr="00DD2A88" w:rsidRDefault="00C353EE" w:rsidP="006D61BD">
            <w:pPr>
              <w:pStyle w:val="StyleBodyText12ptJustified"/>
              <w:keepNext/>
              <w:jc w:val="center"/>
              <w:rPr>
                <w:b/>
                <w:color w:val="FFFFFF" w:themeColor="background1"/>
                <w:sz w:val="20"/>
              </w:rPr>
            </w:pPr>
            <w:r w:rsidRPr="00DD2A88">
              <w:rPr>
                <w:b/>
                <w:color w:val="FFFFFF" w:themeColor="background1"/>
                <w:sz w:val="20"/>
              </w:rPr>
              <w:t>Specific Capacity</w:t>
            </w:r>
          </w:p>
        </w:tc>
        <w:tc>
          <w:tcPr>
            <w:tcW w:w="1089" w:type="dxa"/>
            <w:tcBorders>
              <w:left w:val="single" w:sz="4" w:space="0" w:color="FFFFFF" w:themeColor="background1"/>
              <w:bottom w:val="single" w:sz="4" w:space="0" w:color="FFFFFF" w:themeColor="background1"/>
              <w:right w:val="single" w:sz="4" w:space="0" w:color="FFFFFF" w:themeColor="background1"/>
            </w:tcBorders>
            <w:shd w:val="clear" w:color="auto" w:fill="000090"/>
            <w:vAlign w:val="center"/>
          </w:tcPr>
          <w:p w14:paraId="41F86A25" w14:textId="77777777" w:rsidR="00C353EE" w:rsidRPr="00DD2A88" w:rsidRDefault="00C353EE" w:rsidP="006D61BD">
            <w:pPr>
              <w:pStyle w:val="StyleBodyText12ptJustified"/>
              <w:keepNext/>
              <w:jc w:val="center"/>
              <w:rPr>
                <w:b/>
                <w:color w:val="FFFFFF" w:themeColor="background1"/>
                <w:sz w:val="20"/>
              </w:rPr>
            </w:pPr>
            <w:r w:rsidRPr="00DD2A88">
              <w:rPr>
                <w:b/>
                <w:color w:val="FFFFFF" w:themeColor="background1"/>
                <w:sz w:val="20"/>
              </w:rPr>
              <w:t>Aquifer Saturated Thickness</w:t>
            </w:r>
          </w:p>
        </w:tc>
        <w:tc>
          <w:tcPr>
            <w:tcW w:w="1487" w:type="dxa"/>
            <w:tcBorders>
              <w:left w:val="single" w:sz="4" w:space="0" w:color="FFFFFF" w:themeColor="background1"/>
              <w:bottom w:val="single" w:sz="4" w:space="0" w:color="FFFFFF" w:themeColor="background1"/>
              <w:right w:val="single" w:sz="4" w:space="0" w:color="FFFFFF" w:themeColor="background1"/>
            </w:tcBorders>
            <w:shd w:val="clear" w:color="auto" w:fill="000090"/>
            <w:vAlign w:val="center"/>
          </w:tcPr>
          <w:p w14:paraId="720CF776" w14:textId="77777777" w:rsidR="00C353EE" w:rsidRPr="00DD2A88" w:rsidRDefault="00C353EE" w:rsidP="006D61BD">
            <w:pPr>
              <w:pStyle w:val="StyleBodyText12ptJustified"/>
              <w:keepNext/>
              <w:jc w:val="center"/>
              <w:rPr>
                <w:b/>
                <w:color w:val="FFFFFF" w:themeColor="background1"/>
                <w:sz w:val="20"/>
              </w:rPr>
            </w:pPr>
            <w:r w:rsidRPr="00DD2A88">
              <w:rPr>
                <w:b/>
                <w:color w:val="FFFFFF" w:themeColor="background1"/>
                <w:sz w:val="20"/>
              </w:rPr>
              <w:t>Transmissivity</w:t>
            </w:r>
          </w:p>
        </w:tc>
        <w:tc>
          <w:tcPr>
            <w:tcW w:w="1304" w:type="dxa"/>
            <w:tcBorders>
              <w:left w:val="single" w:sz="4" w:space="0" w:color="FFFFFF" w:themeColor="background1"/>
              <w:bottom w:val="single" w:sz="4" w:space="0" w:color="FFFFFF" w:themeColor="background1"/>
            </w:tcBorders>
            <w:shd w:val="clear" w:color="auto" w:fill="000090"/>
            <w:vAlign w:val="center"/>
          </w:tcPr>
          <w:p w14:paraId="767E6AE4" w14:textId="77777777" w:rsidR="00C353EE" w:rsidRPr="00DD2A88" w:rsidRDefault="00C353EE" w:rsidP="006D61BD">
            <w:pPr>
              <w:pStyle w:val="StyleBodyText12ptJustified"/>
              <w:keepNext/>
              <w:jc w:val="center"/>
              <w:rPr>
                <w:b/>
                <w:color w:val="FFFFFF" w:themeColor="background1"/>
                <w:sz w:val="20"/>
              </w:rPr>
            </w:pPr>
            <w:r w:rsidRPr="00DD2A88">
              <w:rPr>
                <w:b/>
                <w:color w:val="FFFFFF" w:themeColor="background1"/>
                <w:sz w:val="20"/>
              </w:rPr>
              <w:t>Hydraulic Conductivity</w:t>
            </w:r>
          </w:p>
        </w:tc>
      </w:tr>
      <w:tr w:rsidR="009E68C4" w:rsidRPr="009E68C4" w14:paraId="02398792" w14:textId="77777777" w:rsidTr="006D61BD">
        <w:trPr>
          <w:trHeight w:hRule="exact" w:val="288"/>
          <w:jc w:val="center"/>
        </w:trPr>
        <w:tc>
          <w:tcPr>
            <w:tcW w:w="0" w:type="auto"/>
            <w:vMerge/>
            <w:tcBorders>
              <w:top w:val="nil"/>
              <w:bottom w:val="nil"/>
              <w:right w:val="single" w:sz="4" w:space="0" w:color="FFFFFF" w:themeColor="background1"/>
            </w:tcBorders>
            <w:shd w:val="clear" w:color="auto" w:fill="000090"/>
          </w:tcPr>
          <w:p w14:paraId="6DDF6B9E" w14:textId="77777777" w:rsidR="00C353EE" w:rsidRPr="00002090" w:rsidRDefault="00C353EE" w:rsidP="00002090">
            <w:pPr>
              <w:pStyle w:val="StyleBodyText12ptJustified"/>
              <w:keepNext/>
              <w:ind w:left="1600"/>
              <w:rPr>
                <w:b/>
                <w:color w:val="FFFFFF" w:themeColor="background1"/>
              </w:rPr>
            </w:pPr>
          </w:p>
        </w:tc>
        <w:tc>
          <w:tcPr>
            <w:tcW w:w="1089" w:type="dxa"/>
            <w:tcBorders>
              <w:top w:val="single" w:sz="4" w:space="0" w:color="FFFFFF" w:themeColor="background1"/>
              <w:left w:val="single" w:sz="4" w:space="0" w:color="FFFFFF" w:themeColor="background1"/>
              <w:bottom w:val="nil"/>
              <w:right w:val="single" w:sz="4" w:space="0" w:color="FFFFFF" w:themeColor="background1"/>
            </w:tcBorders>
            <w:shd w:val="clear" w:color="auto" w:fill="000090"/>
          </w:tcPr>
          <w:p w14:paraId="2F3083E9" w14:textId="77777777" w:rsidR="00C353EE" w:rsidRPr="006D61BD" w:rsidRDefault="009E68C4" w:rsidP="006D61BD">
            <w:pPr>
              <w:pStyle w:val="StyleBodyText12ptJustified"/>
              <w:keepNext/>
              <w:jc w:val="center"/>
              <w:rPr>
                <w:color w:val="FFFFFF" w:themeColor="background1"/>
                <w:sz w:val="20"/>
              </w:rPr>
            </w:pPr>
            <w:r w:rsidRPr="006D61BD">
              <w:rPr>
                <w:bCs/>
                <w:color w:val="FFFFFF" w:themeColor="background1"/>
                <w:sz w:val="20"/>
              </w:rPr>
              <w:t>(</w:t>
            </w:r>
            <w:r w:rsidR="00C353EE" w:rsidRPr="006D61BD">
              <w:rPr>
                <w:color w:val="FFFFFF" w:themeColor="background1"/>
                <w:sz w:val="20"/>
              </w:rPr>
              <w:t>gpm/ft</w:t>
            </w:r>
            <w:r w:rsidRPr="006D61BD">
              <w:rPr>
                <w:bCs/>
                <w:color w:val="FFFFFF" w:themeColor="background1"/>
                <w:sz w:val="20"/>
              </w:rPr>
              <w:t>)</w:t>
            </w:r>
          </w:p>
        </w:tc>
        <w:tc>
          <w:tcPr>
            <w:tcW w:w="1089" w:type="dxa"/>
            <w:tcBorders>
              <w:top w:val="single" w:sz="4" w:space="0" w:color="FFFFFF" w:themeColor="background1"/>
              <w:left w:val="single" w:sz="4" w:space="0" w:color="FFFFFF" w:themeColor="background1"/>
              <w:bottom w:val="nil"/>
              <w:right w:val="single" w:sz="4" w:space="0" w:color="FFFFFF" w:themeColor="background1"/>
            </w:tcBorders>
            <w:shd w:val="clear" w:color="auto" w:fill="000090"/>
          </w:tcPr>
          <w:p w14:paraId="734150B1" w14:textId="77777777" w:rsidR="00C353EE" w:rsidRPr="006D61BD" w:rsidRDefault="009E68C4" w:rsidP="006D61BD">
            <w:pPr>
              <w:pStyle w:val="StyleBodyText12ptJustified"/>
              <w:keepNext/>
              <w:jc w:val="center"/>
              <w:rPr>
                <w:color w:val="FFFFFF" w:themeColor="background1"/>
              </w:rPr>
            </w:pPr>
            <w:r w:rsidRPr="006D61BD">
              <w:rPr>
                <w:bCs/>
                <w:color w:val="FFFFFF" w:themeColor="background1"/>
                <w:sz w:val="20"/>
              </w:rPr>
              <w:t>(</w:t>
            </w:r>
            <w:r w:rsidR="00C353EE" w:rsidRPr="006D61BD">
              <w:rPr>
                <w:color w:val="FFFFFF" w:themeColor="background1"/>
                <w:sz w:val="20"/>
              </w:rPr>
              <w:t>ft</w:t>
            </w:r>
            <w:r w:rsidRPr="006D61BD">
              <w:rPr>
                <w:bCs/>
                <w:color w:val="FFFFFF" w:themeColor="background1"/>
                <w:sz w:val="20"/>
              </w:rPr>
              <w:t>)</w:t>
            </w:r>
          </w:p>
        </w:tc>
        <w:tc>
          <w:tcPr>
            <w:tcW w:w="1487" w:type="dxa"/>
            <w:tcBorders>
              <w:top w:val="single" w:sz="4" w:space="0" w:color="FFFFFF" w:themeColor="background1"/>
              <w:left w:val="single" w:sz="4" w:space="0" w:color="FFFFFF" w:themeColor="background1"/>
              <w:bottom w:val="nil"/>
              <w:right w:val="single" w:sz="4" w:space="0" w:color="FFFFFF" w:themeColor="background1"/>
            </w:tcBorders>
            <w:shd w:val="clear" w:color="auto" w:fill="000090"/>
            <w:vAlign w:val="center"/>
          </w:tcPr>
          <w:p w14:paraId="2BC18858" w14:textId="77777777" w:rsidR="00C353EE" w:rsidRPr="006D61BD" w:rsidRDefault="009E68C4" w:rsidP="006D61BD">
            <w:pPr>
              <w:pStyle w:val="StyleBodyText12ptJustified"/>
              <w:keepNext/>
              <w:jc w:val="center"/>
              <w:rPr>
                <w:color w:val="FFFFFF" w:themeColor="background1"/>
                <w:sz w:val="20"/>
              </w:rPr>
            </w:pPr>
            <w:r w:rsidRPr="006D61BD">
              <w:rPr>
                <w:bCs/>
                <w:color w:val="FFFFFF" w:themeColor="background1"/>
                <w:sz w:val="20"/>
              </w:rPr>
              <w:t>(</w:t>
            </w:r>
            <w:r w:rsidR="00C353EE" w:rsidRPr="006D61BD">
              <w:rPr>
                <w:color w:val="FFFFFF" w:themeColor="background1"/>
                <w:sz w:val="20"/>
              </w:rPr>
              <w:t>ft</w:t>
            </w:r>
            <w:r w:rsidR="00C353EE" w:rsidRPr="006D61BD">
              <w:rPr>
                <w:color w:val="FFFFFF" w:themeColor="background1"/>
                <w:sz w:val="20"/>
                <w:vertAlign w:val="superscript"/>
              </w:rPr>
              <w:t>2</w:t>
            </w:r>
            <w:r w:rsidR="00C353EE" w:rsidRPr="006D61BD">
              <w:rPr>
                <w:color w:val="FFFFFF" w:themeColor="background1"/>
                <w:sz w:val="20"/>
              </w:rPr>
              <w:t>/day</w:t>
            </w:r>
            <w:r w:rsidRPr="006D61BD">
              <w:rPr>
                <w:bCs/>
                <w:color w:val="FFFFFF" w:themeColor="background1"/>
                <w:sz w:val="20"/>
              </w:rPr>
              <w:t>)</w:t>
            </w:r>
          </w:p>
        </w:tc>
        <w:tc>
          <w:tcPr>
            <w:tcW w:w="1304" w:type="dxa"/>
            <w:tcBorders>
              <w:top w:val="single" w:sz="4" w:space="0" w:color="FFFFFF" w:themeColor="background1"/>
              <w:left w:val="single" w:sz="4" w:space="0" w:color="FFFFFF" w:themeColor="background1"/>
              <w:bottom w:val="nil"/>
            </w:tcBorders>
            <w:shd w:val="clear" w:color="auto" w:fill="000090"/>
            <w:vAlign w:val="center"/>
          </w:tcPr>
          <w:p w14:paraId="3A985D21" w14:textId="77777777" w:rsidR="00C353EE" w:rsidRPr="006D61BD" w:rsidRDefault="009E68C4" w:rsidP="006D61BD">
            <w:pPr>
              <w:pStyle w:val="StyleBodyText12ptJustified"/>
              <w:keepNext/>
              <w:jc w:val="center"/>
              <w:rPr>
                <w:color w:val="FFFFFF" w:themeColor="background1"/>
                <w:sz w:val="20"/>
              </w:rPr>
            </w:pPr>
            <w:r w:rsidRPr="006D61BD">
              <w:rPr>
                <w:bCs/>
                <w:color w:val="FFFFFF" w:themeColor="background1"/>
                <w:sz w:val="20"/>
              </w:rPr>
              <w:t>(</w:t>
            </w:r>
            <w:r w:rsidR="00C353EE" w:rsidRPr="006D61BD">
              <w:rPr>
                <w:color w:val="FFFFFF" w:themeColor="background1"/>
                <w:sz w:val="20"/>
              </w:rPr>
              <w:t>ft/day</w:t>
            </w:r>
            <w:r w:rsidRPr="006D61BD">
              <w:rPr>
                <w:bCs/>
                <w:color w:val="FFFFFF" w:themeColor="background1"/>
                <w:sz w:val="20"/>
              </w:rPr>
              <w:t>)</w:t>
            </w:r>
          </w:p>
        </w:tc>
      </w:tr>
      <w:tr w:rsidR="00C353EE" w14:paraId="4CFA7423" w14:textId="77777777" w:rsidTr="006D61BD">
        <w:trPr>
          <w:trHeight w:hRule="exact" w:val="360"/>
          <w:jc w:val="center"/>
        </w:trPr>
        <w:tc>
          <w:tcPr>
            <w:tcW w:w="0" w:type="auto"/>
            <w:tcBorders>
              <w:top w:val="nil"/>
            </w:tcBorders>
            <w:vAlign w:val="center"/>
          </w:tcPr>
          <w:p w14:paraId="74129193" w14:textId="77777777" w:rsidR="00C353EE" w:rsidRPr="007A08C6" w:rsidRDefault="00C353EE" w:rsidP="006D61BD">
            <w:pPr>
              <w:pStyle w:val="StyleBodyText12ptJustified"/>
              <w:keepNext/>
              <w:jc w:val="center"/>
              <w:rPr>
                <w:sz w:val="20"/>
              </w:rPr>
            </w:pPr>
            <w:r w:rsidRPr="007A08C6">
              <w:rPr>
                <w:sz w:val="20"/>
              </w:rPr>
              <w:t>Flagler 2A</w:t>
            </w:r>
          </w:p>
        </w:tc>
        <w:tc>
          <w:tcPr>
            <w:tcW w:w="1089" w:type="dxa"/>
            <w:tcBorders>
              <w:top w:val="nil"/>
            </w:tcBorders>
            <w:vAlign w:val="center"/>
          </w:tcPr>
          <w:p w14:paraId="0767B4B0" w14:textId="77777777" w:rsidR="00C353EE" w:rsidRDefault="00C353EE" w:rsidP="006D61BD">
            <w:pPr>
              <w:pStyle w:val="StyleBodyText12ptJustified"/>
              <w:keepNext/>
              <w:jc w:val="center"/>
              <w:rPr>
                <w:sz w:val="20"/>
              </w:rPr>
            </w:pPr>
            <w:r>
              <w:rPr>
                <w:sz w:val="20"/>
              </w:rPr>
              <w:t>68</w:t>
            </w:r>
          </w:p>
        </w:tc>
        <w:tc>
          <w:tcPr>
            <w:tcW w:w="1089" w:type="dxa"/>
            <w:tcBorders>
              <w:top w:val="nil"/>
            </w:tcBorders>
            <w:vAlign w:val="center"/>
          </w:tcPr>
          <w:p w14:paraId="308B66EE" w14:textId="77777777" w:rsidR="00C353EE" w:rsidRPr="007A08C6" w:rsidRDefault="00C353EE" w:rsidP="006D61BD">
            <w:pPr>
              <w:pStyle w:val="StyleBodyText12ptJustified"/>
              <w:keepNext/>
              <w:jc w:val="center"/>
              <w:rPr>
                <w:sz w:val="20"/>
              </w:rPr>
            </w:pPr>
            <w:r>
              <w:rPr>
                <w:sz w:val="20"/>
              </w:rPr>
              <w:t>65</w:t>
            </w:r>
          </w:p>
        </w:tc>
        <w:tc>
          <w:tcPr>
            <w:tcW w:w="1487" w:type="dxa"/>
            <w:tcBorders>
              <w:top w:val="nil"/>
            </w:tcBorders>
            <w:vAlign w:val="center"/>
          </w:tcPr>
          <w:p w14:paraId="6EF88BA1" w14:textId="77777777" w:rsidR="00C353EE" w:rsidRPr="007A08C6" w:rsidRDefault="00C353EE" w:rsidP="006D61BD">
            <w:pPr>
              <w:pStyle w:val="StyleBodyText12ptJustified"/>
              <w:keepNext/>
              <w:jc w:val="center"/>
              <w:rPr>
                <w:sz w:val="20"/>
              </w:rPr>
            </w:pPr>
            <w:r>
              <w:rPr>
                <w:sz w:val="20"/>
              </w:rPr>
              <w:t>13,</w:t>
            </w:r>
            <w:r w:rsidR="00FB1FBC">
              <w:rPr>
                <w:sz w:val="20"/>
              </w:rPr>
              <w:t>630</w:t>
            </w:r>
          </w:p>
        </w:tc>
        <w:tc>
          <w:tcPr>
            <w:tcW w:w="1304" w:type="dxa"/>
            <w:tcBorders>
              <w:top w:val="nil"/>
            </w:tcBorders>
            <w:vAlign w:val="center"/>
          </w:tcPr>
          <w:p w14:paraId="50119127" w14:textId="77777777" w:rsidR="00C353EE" w:rsidRPr="007A08C6" w:rsidRDefault="00C353EE" w:rsidP="006D61BD">
            <w:pPr>
              <w:pStyle w:val="StyleBodyText12ptJustified"/>
              <w:keepNext/>
              <w:jc w:val="center"/>
              <w:rPr>
                <w:sz w:val="20"/>
              </w:rPr>
            </w:pPr>
            <w:r>
              <w:rPr>
                <w:sz w:val="20"/>
              </w:rPr>
              <w:t>210</w:t>
            </w:r>
          </w:p>
        </w:tc>
      </w:tr>
      <w:tr w:rsidR="00C353EE" w14:paraId="26607ADF" w14:textId="77777777" w:rsidTr="00DD2A88">
        <w:trPr>
          <w:trHeight w:hRule="exact" w:val="360"/>
          <w:jc w:val="center"/>
        </w:trPr>
        <w:tc>
          <w:tcPr>
            <w:tcW w:w="0" w:type="auto"/>
            <w:vAlign w:val="center"/>
          </w:tcPr>
          <w:p w14:paraId="3F463CEE" w14:textId="77777777" w:rsidR="00C353EE" w:rsidRPr="007A08C6" w:rsidRDefault="00C353EE" w:rsidP="006D61BD">
            <w:pPr>
              <w:pStyle w:val="StyleBodyText12ptJustified"/>
              <w:keepNext/>
              <w:jc w:val="center"/>
              <w:rPr>
                <w:sz w:val="20"/>
              </w:rPr>
            </w:pPr>
            <w:r w:rsidRPr="007A08C6">
              <w:rPr>
                <w:sz w:val="20"/>
              </w:rPr>
              <w:t>Flagler 3A</w:t>
            </w:r>
          </w:p>
        </w:tc>
        <w:tc>
          <w:tcPr>
            <w:tcW w:w="1089" w:type="dxa"/>
            <w:vAlign w:val="center"/>
          </w:tcPr>
          <w:p w14:paraId="049C449D" w14:textId="77777777" w:rsidR="00C353EE" w:rsidRDefault="00C353EE" w:rsidP="006D61BD">
            <w:pPr>
              <w:pStyle w:val="StyleBodyText12ptJustified"/>
              <w:keepNext/>
              <w:jc w:val="center"/>
              <w:rPr>
                <w:sz w:val="20"/>
              </w:rPr>
            </w:pPr>
            <w:r>
              <w:rPr>
                <w:sz w:val="20"/>
              </w:rPr>
              <w:t>98</w:t>
            </w:r>
          </w:p>
        </w:tc>
        <w:tc>
          <w:tcPr>
            <w:tcW w:w="1089" w:type="dxa"/>
            <w:vAlign w:val="center"/>
          </w:tcPr>
          <w:p w14:paraId="7A00FFD1" w14:textId="77777777" w:rsidR="00C353EE" w:rsidRPr="007A08C6" w:rsidRDefault="00C353EE" w:rsidP="006D61BD">
            <w:pPr>
              <w:pStyle w:val="StyleBodyText12ptJustified"/>
              <w:keepNext/>
              <w:jc w:val="center"/>
              <w:rPr>
                <w:sz w:val="20"/>
              </w:rPr>
            </w:pPr>
            <w:r>
              <w:rPr>
                <w:sz w:val="20"/>
              </w:rPr>
              <w:t>68</w:t>
            </w:r>
          </w:p>
        </w:tc>
        <w:tc>
          <w:tcPr>
            <w:tcW w:w="1487" w:type="dxa"/>
            <w:vAlign w:val="center"/>
          </w:tcPr>
          <w:p w14:paraId="1362EB64" w14:textId="77777777" w:rsidR="00C353EE" w:rsidRPr="007A08C6" w:rsidRDefault="00C353EE" w:rsidP="006D61BD">
            <w:pPr>
              <w:pStyle w:val="StyleBodyText12ptJustified"/>
              <w:keepNext/>
              <w:jc w:val="center"/>
              <w:rPr>
                <w:sz w:val="20"/>
              </w:rPr>
            </w:pPr>
            <w:r>
              <w:rPr>
                <w:sz w:val="20"/>
              </w:rPr>
              <w:t>19,</w:t>
            </w:r>
            <w:r w:rsidR="00FB1FBC">
              <w:rPr>
                <w:sz w:val="20"/>
              </w:rPr>
              <w:t>619</w:t>
            </w:r>
          </w:p>
        </w:tc>
        <w:tc>
          <w:tcPr>
            <w:tcW w:w="1304" w:type="dxa"/>
            <w:vAlign w:val="center"/>
          </w:tcPr>
          <w:p w14:paraId="54ED158C" w14:textId="77777777" w:rsidR="00C353EE" w:rsidRPr="007A08C6" w:rsidRDefault="00FB1FBC" w:rsidP="006D61BD">
            <w:pPr>
              <w:pStyle w:val="StyleBodyText12ptJustified"/>
              <w:keepNext/>
              <w:jc w:val="center"/>
              <w:rPr>
                <w:sz w:val="20"/>
              </w:rPr>
            </w:pPr>
            <w:r>
              <w:rPr>
                <w:sz w:val="20"/>
              </w:rPr>
              <w:t>289</w:t>
            </w:r>
          </w:p>
        </w:tc>
      </w:tr>
      <w:tr w:rsidR="00F7112C" w14:paraId="4176C162" w14:textId="77777777" w:rsidTr="00DD2A88">
        <w:trPr>
          <w:trHeight w:hRule="exact" w:val="360"/>
          <w:jc w:val="center"/>
        </w:trPr>
        <w:tc>
          <w:tcPr>
            <w:tcW w:w="0" w:type="auto"/>
            <w:vAlign w:val="center"/>
          </w:tcPr>
          <w:p w14:paraId="5E567CC6" w14:textId="77777777" w:rsidR="00F7112C" w:rsidRPr="007A08C6" w:rsidRDefault="00F7112C" w:rsidP="006D61BD">
            <w:pPr>
              <w:pStyle w:val="StyleBodyText12ptJustified"/>
              <w:keepNext/>
              <w:jc w:val="center"/>
              <w:rPr>
                <w:sz w:val="20"/>
              </w:rPr>
            </w:pPr>
            <w:r>
              <w:rPr>
                <w:sz w:val="20"/>
              </w:rPr>
              <w:t>Gregory 1</w:t>
            </w:r>
          </w:p>
        </w:tc>
        <w:tc>
          <w:tcPr>
            <w:tcW w:w="1089" w:type="dxa"/>
            <w:vAlign w:val="center"/>
          </w:tcPr>
          <w:p w14:paraId="36FDA7E0" w14:textId="77777777" w:rsidR="00F7112C" w:rsidRDefault="00F7112C" w:rsidP="006D61BD">
            <w:pPr>
              <w:pStyle w:val="StyleBodyText12ptJustified"/>
              <w:keepNext/>
              <w:jc w:val="center"/>
              <w:rPr>
                <w:sz w:val="20"/>
              </w:rPr>
            </w:pPr>
            <w:r>
              <w:rPr>
                <w:sz w:val="20"/>
              </w:rPr>
              <w:t>10</w:t>
            </w:r>
          </w:p>
        </w:tc>
        <w:tc>
          <w:tcPr>
            <w:tcW w:w="1089" w:type="dxa"/>
            <w:vAlign w:val="center"/>
          </w:tcPr>
          <w:p w14:paraId="3C1DFE16" w14:textId="77777777" w:rsidR="00F7112C" w:rsidRDefault="00F7112C" w:rsidP="006D61BD">
            <w:pPr>
              <w:pStyle w:val="StyleBodyText12ptJustified"/>
              <w:keepNext/>
              <w:jc w:val="center"/>
              <w:rPr>
                <w:sz w:val="20"/>
              </w:rPr>
            </w:pPr>
            <w:r>
              <w:rPr>
                <w:sz w:val="20"/>
              </w:rPr>
              <w:t>59</w:t>
            </w:r>
          </w:p>
        </w:tc>
        <w:tc>
          <w:tcPr>
            <w:tcW w:w="1487" w:type="dxa"/>
            <w:vAlign w:val="center"/>
          </w:tcPr>
          <w:p w14:paraId="65A9774B" w14:textId="77777777" w:rsidR="00F7112C" w:rsidRDefault="00FB1FBC" w:rsidP="006D61BD">
            <w:pPr>
              <w:pStyle w:val="StyleBodyText12ptJustified"/>
              <w:keepNext/>
              <w:jc w:val="center"/>
              <w:rPr>
                <w:sz w:val="20"/>
              </w:rPr>
            </w:pPr>
            <w:r>
              <w:rPr>
                <w:sz w:val="20"/>
              </w:rPr>
              <w:t>1,993</w:t>
            </w:r>
          </w:p>
        </w:tc>
        <w:tc>
          <w:tcPr>
            <w:tcW w:w="1304" w:type="dxa"/>
            <w:vAlign w:val="center"/>
          </w:tcPr>
          <w:p w14:paraId="31526844" w14:textId="77777777" w:rsidR="00F7112C" w:rsidRDefault="00FB1FBC" w:rsidP="006D61BD">
            <w:pPr>
              <w:pStyle w:val="StyleBodyText12ptJustified"/>
              <w:keepNext/>
              <w:jc w:val="center"/>
              <w:rPr>
                <w:sz w:val="20"/>
              </w:rPr>
            </w:pPr>
            <w:r>
              <w:rPr>
                <w:sz w:val="20"/>
              </w:rPr>
              <w:t>34</w:t>
            </w:r>
          </w:p>
        </w:tc>
      </w:tr>
      <w:tr w:rsidR="00C353EE" w14:paraId="2825A473" w14:textId="77777777" w:rsidTr="00DD2A88">
        <w:trPr>
          <w:trHeight w:hRule="exact" w:val="360"/>
          <w:jc w:val="center"/>
        </w:trPr>
        <w:tc>
          <w:tcPr>
            <w:tcW w:w="0" w:type="auto"/>
            <w:vAlign w:val="center"/>
          </w:tcPr>
          <w:p w14:paraId="03E5ADCA" w14:textId="77777777" w:rsidR="00C353EE" w:rsidRPr="007A08C6" w:rsidRDefault="00C353EE" w:rsidP="006D61BD">
            <w:pPr>
              <w:pStyle w:val="StyleBodyText12ptJustified"/>
              <w:keepNext/>
              <w:jc w:val="center"/>
              <w:rPr>
                <w:sz w:val="20"/>
              </w:rPr>
            </w:pPr>
            <w:r w:rsidRPr="007A08C6">
              <w:rPr>
                <w:sz w:val="20"/>
              </w:rPr>
              <w:t>Gregory 2</w:t>
            </w:r>
          </w:p>
        </w:tc>
        <w:tc>
          <w:tcPr>
            <w:tcW w:w="1089" w:type="dxa"/>
            <w:vAlign w:val="center"/>
          </w:tcPr>
          <w:p w14:paraId="1D48C20D" w14:textId="77777777" w:rsidR="00C353EE" w:rsidRDefault="00C353EE" w:rsidP="006D61BD">
            <w:pPr>
              <w:pStyle w:val="StyleBodyText12ptJustified"/>
              <w:keepNext/>
              <w:jc w:val="center"/>
              <w:rPr>
                <w:sz w:val="20"/>
              </w:rPr>
            </w:pPr>
            <w:r>
              <w:rPr>
                <w:sz w:val="20"/>
              </w:rPr>
              <w:t>3</w:t>
            </w:r>
          </w:p>
        </w:tc>
        <w:tc>
          <w:tcPr>
            <w:tcW w:w="1089" w:type="dxa"/>
            <w:vAlign w:val="center"/>
          </w:tcPr>
          <w:p w14:paraId="0B4931E3" w14:textId="77777777" w:rsidR="00C353EE" w:rsidRPr="007A08C6" w:rsidRDefault="00C353EE" w:rsidP="006D61BD">
            <w:pPr>
              <w:pStyle w:val="StyleBodyText12ptJustified"/>
              <w:keepNext/>
              <w:jc w:val="center"/>
              <w:rPr>
                <w:sz w:val="20"/>
              </w:rPr>
            </w:pPr>
            <w:r>
              <w:rPr>
                <w:sz w:val="20"/>
              </w:rPr>
              <w:t>59</w:t>
            </w:r>
          </w:p>
        </w:tc>
        <w:tc>
          <w:tcPr>
            <w:tcW w:w="1487" w:type="dxa"/>
            <w:vAlign w:val="center"/>
          </w:tcPr>
          <w:p w14:paraId="120B77AE" w14:textId="77777777" w:rsidR="00C353EE" w:rsidRPr="007A08C6" w:rsidRDefault="00C353EE" w:rsidP="006D61BD">
            <w:pPr>
              <w:pStyle w:val="StyleBodyText12ptJustified"/>
              <w:keepNext/>
              <w:jc w:val="center"/>
              <w:rPr>
                <w:sz w:val="20"/>
              </w:rPr>
            </w:pPr>
            <w:r>
              <w:rPr>
                <w:sz w:val="20"/>
              </w:rPr>
              <w:t>610</w:t>
            </w:r>
          </w:p>
        </w:tc>
        <w:tc>
          <w:tcPr>
            <w:tcW w:w="1304" w:type="dxa"/>
            <w:vAlign w:val="center"/>
          </w:tcPr>
          <w:p w14:paraId="5CFB1A1D" w14:textId="77777777" w:rsidR="00C353EE" w:rsidRPr="007A08C6" w:rsidRDefault="00C353EE" w:rsidP="006D61BD">
            <w:pPr>
              <w:pStyle w:val="StyleBodyText12ptJustified"/>
              <w:keepNext/>
              <w:jc w:val="center"/>
              <w:rPr>
                <w:sz w:val="20"/>
              </w:rPr>
            </w:pPr>
            <w:r>
              <w:rPr>
                <w:sz w:val="20"/>
              </w:rPr>
              <w:t>10</w:t>
            </w:r>
          </w:p>
        </w:tc>
      </w:tr>
    </w:tbl>
    <w:p w14:paraId="4722A86B" w14:textId="77777777" w:rsidR="00C353EE" w:rsidRPr="009F688E" w:rsidRDefault="00C353EE" w:rsidP="00C353EE">
      <w:pPr>
        <w:pStyle w:val="StyleBodyText12ptJustified"/>
      </w:pPr>
    </w:p>
    <w:p w14:paraId="17A3E624" w14:textId="31F5C1AB" w:rsidR="00C353EE" w:rsidRDefault="0060532F" w:rsidP="0060532F">
      <w:pPr>
        <w:pStyle w:val="StyleBodyText12ptJustified"/>
      </w:pPr>
      <w:r>
        <w:t>Although there is limited aquifer data from the en</w:t>
      </w:r>
      <w:r w:rsidR="0023136E">
        <w:t xml:space="preserve">tire Bedford Basin, the aquifer’s hydraulic </w:t>
      </w:r>
      <w:r>
        <w:t xml:space="preserve">property results, based on </w:t>
      </w:r>
      <w:r w:rsidR="00EB519E">
        <w:t xml:space="preserve">current groundwater level </w:t>
      </w:r>
      <w:r>
        <w:t>conditions, suggest</w:t>
      </w:r>
      <w:r w:rsidR="00F00C0D">
        <w:t xml:space="preserve"> that</w:t>
      </w:r>
      <w:r>
        <w:t xml:space="preserve"> the aquifer is more productive in the northern portion of the basin, near the Flagler well</w:t>
      </w:r>
      <w:r w:rsidRPr="00CE143A">
        <w:t xml:space="preserve">s. </w:t>
      </w:r>
      <w:r w:rsidR="00EB519E" w:rsidRPr="00CE143A">
        <w:t xml:space="preserve">Additional aquifer test data from </w:t>
      </w:r>
      <w:r w:rsidR="00F00C0D">
        <w:t xml:space="preserve">the </w:t>
      </w:r>
      <w:r w:rsidR="00EB519E" w:rsidRPr="00CE143A">
        <w:t xml:space="preserve">central Bedford Basin, near </w:t>
      </w:r>
      <w:r w:rsidR="0023136E" w:rsidRPr="00CE143A">
        <w:t xml:space="preserve">LLWD monitoring wells MW 1A, MW 2, and MW 3would provide a </w:t>
      </w:r>
      <w:r w:rsidR="00BA2A49" w:rsidRPr="00CE143A">
        <w:t>better</w:t>
      </w:r>
      <w:r w:rsidR="0023136E" w:rsidRPr="00CE143A">
        <w:t xml:space="preserve"> understanding of the aquifer’s hydraulic properties</w:t>
      </w:r>
      <w:r w:rsidR="00BA2A49" w:rsidRPr="00CE143A">
        <w:t xml:space="preserve"> across the entire basin</w:t>
      </w:r>
      <w:r w:rsidR="0023136E" w:rsidRPr="00CE143A">
        <w:t>.</w:t>
      </w:r>
    </w:p>
    <w:p w14:paraId="00E36EBB" w14:textId="77777777" w:rsidR="008C6A50" w:rsidRDefault="008C6A50" w:rsidP="00171A78">
      <w:pPr>
        <w:pStyle w:val="Heading3"/>
      </w:pPr>
      <w:bookmarkStart w:id="28" w:name="_Toc427921423"/>
      <w:r>
        <w:t>Groundwater Levels</w:t>
      </w:r>
      <w:bookmarkEnd w:id="28"/>
    </w:p>
    <w:p w14:paraId="301B9B7B" w14:textId="4EB14FC5" w:rsidR="008C6A50" w:rsidRDefault="008C6A50" w:rsidP="008C6A50">
      <w:pPr>
        <w:pStyle w:val="StyleBodyText12ptJustified"/>
      </w:pPr>
      <w:r>
        <w:t>Historic g</w:t>
      </w:r>
      <w:r w:rsidRPr="00B07EA2">
        <w:t xml:space="preserve">roundwater </w:t>
      </w:r>
      <w:r>
        <w:t>level</w:t>
      </w:r>
      <w:r w:rsidRPr="00B07EA2">
        <w:t xml:space="preserve"> data for wells in the Bedford and Lee Lake Basins were available from Corona, </w:t>
      </w:r>
      <w:r w:rsidR="00F00C0D">
        <w:t xml:space="preserve">the </w:t>
      </w:r>
      <w:r w:rsidRPr="00B07EA2">
        <w:t xml:space="preserve">EVMWD, </w:t>
      </w:r>
      <w:r w:rsidR="00F00C0D">
        <w:t xml:space="preserve">the </w:t>
      </w:r>
      <w:r w:rsidRPr="00B07EA2">
        <w:t>T</w:t>
      </w:r>
      <w:r>
        <w:t xml:space="preserve">emescal Water Company, and </w:t>
      </w:r>
      <w:r w:rsidR="00F00C0D">
        <w:t xml:space="preserve">the </w:t>
      </w:r>
      <w:r>
        <w:t>LLWD</w:t>
      </w:r>
      <w:r w:rsidRPr="00B07EA2">
        <w:t xml:space="preserve">. The data were collected </w:t>
      </w:r>
      <w:r w:rsidR="00F63A4B">
        <w:t>for</w:t>
      </w:r>
      <w:r w:rsidR="00F63A4B" w:rsidRPr="00B07EA2">
        <w:t xml:space="preserve"> </w:t>
      </w:r>
      <w:r>
        <w:t xml:space="preserve">this investigation and previous </w:t>
      </w:r>
      <w:r w:rsidRPr="00B07EA2">
        <w:t>WEI investigations and stored in HydroDaVE</w:t>
      </w:r>
      <w:r w:rsidRPr="00B07EA2">
        <w:rPr>
          <w:rFonts w:ascii="MS Mincho" w:eastAsia="MS Mincho" w:hAnsi="MS Mincho" w:cs="MS Mincho" w:hint="eastAsia"/>
        </w:rPr>
        <w:t>℠</w:t>
      </w:r>
      <w:r w:rsidR="00F00C0D">
        <w:t>.</w:t>
      </w:r>
      <w:r>
        <w:rPr>
          <w:rStyle w:val="FootnoteReference"/>
          <w:rFonts w:ascii="MS Mincho" w:eastAsia="MS Mincho" w:hAnsi="MS Mincho" w:cs="MS Mincho"/>
        </w:rPr>
        <w:footnoteReference w:id="12"/>
      </w:r>
      <w:r>
        <w:t xml:space="preserve"> Several wells within the Bedford Basin have long-term groundwater</w:t>
      </w:r>
      <w:r w:rsidR="00F63A4B">
        <w:t xml:space="preserve"> </w:t>
      </w:r>
      <w:r>
        <w:t>level records beginning around 1945. These wells include the EVMWD Flagler and New Sump wells. The Flagler wells are located in northern portion of the Bedford</w:t>
      </w:r>
      <w:r w:rsidR="00F00C0D">
        <w:t xml:space="preserve"> Basin,</w:t>
      </w:r>
      <w:r>
        <w:t xml:space="preserve"> and </w:t>
      </w:r>
      <w:r w:rsidR="00F00C0D">
        <w:t xml:space="preserve">the </w:t>
      </w:r>
      <w:r>
        <w:t xml:space="preserve">New Sump well is located towards the southern portion of the Bedford Basin. </w:t>
      </w:r>
      <w:r w:rsidRPr="002D7097">
        <w:t>Figure 3-</w:t>
      </w:r>
      <w:r w:rsidR="002D7097" w:rsidRPr="002D7097">
        <w:t>4</w:t>
      </w:r>
      <w:r w:rsidRPr="00F57C5A">
        <w:t xml:space="preserve"> shows groundwater</w:t>
      </w:r>
      <w:r w:rsidR="00F63A4B">
        <w:t xml:space="preserve"> </w:t>
      </w:r>
      <w:r w:rsidRPr="00F57C5A">
        <w:t xml:space="preserve">level data for the Bedford Basin for the period between 1945 and </w:t>
      </w:r>
      <w:r w:rsidRPr="004D0D25">
        <w:t>201</w:t>
      </w:r>
      <w:r w:rsidR="004D0D25" w:rsidRPr="004D0D25">
        <w:t>4</w:t>
      </w:r>
      <w:r w:rsidRPr="004D0D25">
        <w:t>.</w:t>
      </w:r>
      <w:r w:rsidRPr="00F57C5A">
        <w:t xml:space="preserve"> Since 1945, groundwater levels at the Flagler and New Sump </w:t>
      </w:r>
      <w:r>
        <w:t>wells</w:t>
      </w:r>
      <w:r w:rsidRPr="00F57C5A">
        <w:t xml:space="preserve"> have fluctuated </w:t>
      </w:r>
      <w:r w:rsidR="00F00C0D">
        <w:t xml:space="preserve">by </w:t>
      </w:r>
      <w:r w:rsidRPr="00F57C5A">
        <w:t xml:space="preserve">approximately 68 feet and 50 feet, respectively. </w:t>
      </w:r>
      <w:r w:rsidRPr="002D7097">
        <w:t>Figure 3-</w:t>
      </w:r>
      <w:r w:rsidR="002D7097" w:rsidRPr="002D7097">
        <w:t>4</w:t>
      </w:r>
      <w:r>
        <w:t xml:space="preserve"> shows that groundwater levels respond to the stresses of both precipitation and groundwater production. For the period 1945 to 1978, groundwater production from the Bedford Basin was greater than current conditions, the climate was relatively dry, and groundwater levels were generally lower than </w:t>
      </w:r>
      <w:r w:rsidRPr="004D0D25">
        <w:t>201</w:t>
      </w:r>
      <w:r w:rsidR="004D0D25" w:rsidRPr="004D0D25">
        <w:t>4</w:t>
      </w:r>
      <w:r>
        <w:t xml:space="preserve"> conditions. Maximum depth to groundwater during this period was approximately 68 feet for the Flagler wells and approximately 50 feet for </w:t>
      </w:r>
      <w:r w:rsidR="00F00C0D">
        <w:t xml:space="preserve">the </w:t>
      </w:r>
      <w:r>
        <w:t xml:space="preserve">New Sump well. During wet years (1969 and 1978), groundwater levels increased rapidly, most likely in response to </w:t>
      </w:r>
      <w:r w:rsidR="00F00C0D">
        <w:t xml:space="preserve">the </w:t>
      </w:r>
      <w:r>
        <w:t xml:space="preserve">recharge of storm-water in the unlined channels of the Temescal Wash and its tributaries. </w:t>
      </w:r>
      <w:r w:rsidR="00F00C0D">
        <w:t xml:space="preserve">Since </w:t>
      </w:r>
      <w:r>
        <w:t>1978, groundwater production from the Bedford Basin has decreased, and groundwater levels have remained shallow and relatively stable</w:t>
      </w:r>
      <w:r w:rsidR="00497AAC">
        <w:t>,</w:t>
      </w:r>
      <w:r>
        <w:t xml:space="preserve"> ranging between approximately 5 and 35 feet-bgs at the Flagler wells and approximately 4 and 39 feet-bgs at the New Sump well.</w:t>
      </w:r>
    </w:p>
    <w:p w14:paraId="6DBE0D3E" w14:textId="77777777" w:rsidR="00A77487" w:rsidRDefault="00A77487" w:rsidP="00171A78">
      <w:pPr>
        <w:pStyle w:val="Heading3"/>
      </w:pPr>
      <w:bookmarkStart w:id="29" w:name="_Toc427921424"/>
      <w:r>
        <w:t>Groundwater Flow</w:t>
      </w:r>
      <w:bookmarkEnd w:id="29"/>
    </w:p>
    <w:p w14:paraId="2F0F0693" w14:textId="034E08AB" w:rsidR="00A77487" w:rsidRDefault="00A77487" w:rsidP="00A77487">
      <w:pPr>
        <w:pStyle w:val="StyleBodyText12ptJustified"/>
      </w:pPr>
      <w:r w:rsidRPr="0032400A">
        <w:t>In general, groundwater flow mimics surface-water drainage patterns: from the flanks of the surrounding bedrock hills and mountains toward the Temescal Wash and then northwestward following the downstream course of the Temescal Wash</w:t>
      </w:r>
      <w:r>
        <w:t>. Along the</w:t>
      </w:r>
      <w:r w:rsidRPr="0032400A">
        <w:t>s</w:t>
      </w:r>
      <w:r>
        <w:t>e</w:t>
      </w:r>
      <w:r w:rsidRPr="0032400A">
        <w:t xml:space="preserve"> general flow path</w:t>
      </w:r>
      <w:r>
        <w:t>s</w:t>
      </w:r>
      <w:r w:rsidRPr="0032400A">
        <w:t xml:space="preserve">, groundwater encounters bedrock ridges and </w:t>
      </w:r>
      <w:r>
        <w:t>bedrock constrictions that restrict groundwater flow to narrow flow paths and can create localized areas of shallow or rising groundwater</w:t>
      </w:r>
      <w:r w:rsidRPr="0032400A">
        <w:t>.</w:t>
      </w:r>
      <w:r w:rsidR="00D17064">
        <w:t xml:space="preserve"> </w:t>
      </w:r>
      <w:r>
        <w:t>In the Bedford Wash, groundwater flows from the surrounding bedrock hills, and then northeastward towards the Flagler wells.</w:t>
      </w:r>
    </w:p>
    <w:p w14:paraId="6E7C0366" w14:textId="233E47EF" w:rsidR="00A77487" w:rsidRDefault="00A77487" w:rsidP="00A77487">
      <w:pPr>
        <w:pStyle w:val="StyleBodyText12ptJustified"/>
      </w:pPr>
      <w:r w:rsidRPr="004D0D25">
        <w:t xml:space="preserve">Figure 3-5 is a groundwater-elevation contour map that depicts general </w:t>
      </w:r>
      <w:r w:rsidR="006A332F" w:rsidRPr="004D0D25">
        <w:t>groundwater flow</w:t>
      </w:r>
      <w:r w:rsidRPr="004D0D25">
        <w:t xml:space="preserve"> patterns across the Bedford Basin under historical conditions in fall 1949—a time of relative</w:t>
      </w:r>
      <w:r w:rsidR="00112298">
        <w:t>ly</w:t>
      </w:r>
      <w:r w:rsidRPr="004D0D25">
        <w:t xml:space="preserve"> low groundwater levels. The arrows on the map indicate flow direction, which is perpendicular to the contours from higher elevation to lower elevation. Figure 3-6</w:t>
      </w:r>
      <w:r w:rsidRPr="00960593">
        <w:t xml:space="preserve"> </w:t>
      </w:r>
      <w:r>
        <w:t xml:space="preserve">is a similarly constructed </w:t>
      </w:r>
      <w:r w:rsidRPr="0032400A">
        <w:t xml:space="preserve">groundwater-elevation contour map for </w:t>
      </w:r>
      <w:r>
        <w:t>f</w:t>
      </w:r>
      <w:r w:rsidRPr="0032400A">
        <w:t xml:space="preserve">all </w:t>
      </w:r>
      <w:r>
        <w:t>2012—</w:t>
      </w:r>
      <w:r w:rsidRPr="0032400A">
        <w:t xml:space="preserve">a </w:t>
      </w:r>
      <w:r>
        <w:t>time</w:t>
      </w:r>
      <w:r w:rsidRPr="0032400A">
        <w:t xml:space="preserve"> of rel</w:t>
      </w:r>
      <w:r>
        <w:t>ative</w:t>
      </w:r>
      <w:r w:rsidR="00112298">
        <w:t>ly</w:t>
      </w:r>
      <w:r>
        <w:t xml:space="preserve"> high groundwater levels. </w:t>
      </w:r>
      <w:r w:rsidRPr="0032400A">
        <w:t xml:space="preserve">Although groundwater elevations </w:t>
      </w:r>
      <w:r>
        <w:t>are</w:t>
      </w:r>
      <w:r w:rsidRPr="0032400A">
        <w:t xml:space="preserve"> different on these maps, the shape and orientation of the contours are similar, </w:t>
      </w:r>
      <w:r w:rsidR="00112298" w:rsidRPr="0032400A">
        <w:t>demonstrat</w:t>
      </w:r>
      <w:r w:rsidR="00112298">
        <w:t>ing</w:t>
      </w:r>
      <w:r w:rsidR="00112298" w:rsidRPr="0032400A">
        <w:t xml:space="preserve"> </w:t>
      </w:r>
      <w:r w:rsidRPr="0032400A">
        <w:t>that the groundwater</w:t>
      </w:r>
      <w:r w:rsidR="00F63A4B">
        <w:t xml:space="preserve"> </w:t>
      </w:r>
      <w:r w:rsidRPr="0032400A">
        <w:t xml:space="preserve">flow patterns within </w:t>
      </w:r>
      <w:r>
        <w:t>the Bedford Basin</w:t>
      </w:r>
      <w:r w:rsidRPr="0032400A">
        <w:t xml:space="preserve"> have been generally consistent over time and under different hydrologic conditions.</w:t>
      </w:r>
    </w:p>
    <w:p w14:paraId="05C0C1AF" w14:textId="77777777" w:rsidR="001F5949" w:rsidRPr="00ED2199" w:rsidRDefault="00E3041E" w:rsidP="00171A78">
      <w:pPr>
        <w:pStyle w:val="Heading3"/>
      </w:pPr>
      <w:bookmarkStart w:id="30" w:name="_Toc427921425"/>
      <w:r w:rsidRPr="00ED2199">
        <w:t xml:space="preserve">Groundwater </w:t>
      </w:r>
      <w:r w:rsidR="005D6DFA" w:rsidRPr="00ED2199">
        <w:t>Recharge</w:t>
      </w:r>
      <w:bookmarkEnd w:id="30"/>
    </w:p>
    <w:p w14:paraId="4ED2F871" w14:textId="77777777" w:rsidR="001F5949" w:rsidRDefault="00AC7BCB" w:rsidP="00D75382">
      <w:pPr>
        <w:pStyle w:val="StyleBodyText12ptJustified"/>
      </w:pPr>
      <w:r>
        <w:t xml:space="preserve">Groundwater recharge to the Bedford Basin </w:t>
      </w:r>
      <w:r w:rsidR="00CC597D">
        <w:t xml:space="preserve">primarily </w:t>
      </w:r>
      <w:r>
        <w:t xml:space="preserve">occurs by </w:t>
      </w:r>
      <w:r w:rsidR="00CC597D">
        <w:t xml:space="preserve">the following </w:t>
      </w:r>
      <w:r>
        <w:t>mechanisms:</w:t>
      </w:r>
    </w:p>
    <w:p w14:paraId="0E91E4CA" w14:textId="6327B11C" w:rsidR="007D2B5C" w:rsidRPr="002F5C6F" w:rsidRDefault="007D2B5C" w:rsidP="005533A6">
      <w:pPr>
        <w:pStyle w:val="StyleBodyText12ptJustified"/>
        <w:numPr>
          <w:ilvl w:val="0"/>
          <w:numId w:val="29"/>
        </w:numPr>
        <w:spacing w:after="120"/>
      </w:pPr>
      <w:r w:rsidRPr="00803D0F">
        <w:t>Infiltration of surface-water runoff (streambed recharge) from the Temescal and Bedford Wash watershed</w:t>
      </w:r>
      <w:r w:rsidR="00803D0F">
        <w:t>s</w:t>
      </w:r>
      <w:r w:rsidRPr="00803D0F">
        <w:t xml:space="preserve">. Sources of runoff include: storm-water runoff, POTW discharge, </w:t>
      </w:r>
      <w:r w:rsidR="00CD02B1">
        <w:t xml:space="preserve">and </w:t>
      </w:r>
      <w:r w:rsidRPr="00803D0F">
        <w:t>dry-weather runoff.</w:t>
      </w:r>
      <w:r w:rsidR="00ED6A3B" w:rsidRPr="00CE203E">
        <w:t xml:space="preserve"> </w:t>
      </w:r>
    </w:p>
    <w:p w14:paraId="0E02D5C7" w14:textId="243829FF" w:rsidR="007D2B5C" w:rsidRPr="00803D0F" w:rsidRDefault="004C290E" w:rsidP="005533A6">
      <w:pPr>
        <w:pStyle w:val="ListParagraph"/>
        <w:numPr>
          <w:ilvl w:val="0"/>
          <w:numId w:val="29"/>
        </w:numPr>
        <w:spacing w:after="120"/>
        <w:rPr>
          <w:rFonts w:asciiTheme="majorHAnsi" w:hAnsiTheme="majorHAnsi"/>
        </w:rPr>
      </w:pPr>
      <w:r>
        <w:rPr>
          <w:rFonts w:asciiTheme="majorHAnsi" w:hAnsiTheme="majorHAnsi"/>
          <w:color w:val="000000"/>
        </w:rPr>
        <w:t xml:space="preserve">Sub-surface </w:t>
      </w:r>
      <w:r w:rsidR="004B5832">
        <w:rPr>
          <w:rFonts w:asciiTheme="majorHAnsi" w:hAnsiTheme="majorHAnsi"/>
          <w:color w:val="000000"/>
        </w:rPr>
        <w:t>in</w:t>
      </w:r>
      <w:r>
        <w:rPr>
          <w:rFonts w:asciiTheme="majorHAnsi" w:hAnsiTheme="majorHAnsi"/>
          <w:color w:val="000000"/>
        </w:rPr>
        <w:t>flow</w:t>
      </w:r>
      <w:r w:rsidR="007D2B5C" w:rsidRPr="00803D0F">
        <w:rPr>
          <w:rFonts w:asciiTheme="majorHAnsi" w:hAnsiTheme="majorHAnsi"/>
          <w:color w:val="000000"/>
        </w:rPr>
        <w:t xml:space="preserve"> from the saturated alluvium and fractures within the </w:t>
      </w:r>
      <w:r w:rsidR="007D2B5C" w:rsidRPr="00803D0F">
        <w:rPr>
          <w:rFonts w:asciiTheme="majorHAnsi" w:hAnsiTheme="majorHAnsi"/>
        </w:rPr>
        <w:t xml:space="preserve">consolidated bedrock in the </w:t>
      </w:r>
      <w:r w:rsidR="007D2B5C" w:rsidRPr="00803D0F">
        <w:rPr>
          <w:rFonts w:asciiTheme="majorHAnsi" w:hAnsiTheme="majorHAnsi"/>
          <w:color w:val="000000"/>
        </w:rPr>
        <w:t xml:space="preserve">bordering </w:t>
      </w:r>
      <w:r w:rsidR="007D2B5C" w:rsidRPr="00803D0F">
        <w:rPr>
          <w:rFonts w:asciiTheme="majorHAnsi" w:hAnsiTheme="majorHAnsi"/>
        </w:rPr>
        <w:t>hills and mountains.</w:t>
      </w:r>
    </w:p>
    <w:p w14:paraId="1DCFF635" w14:textId="19AFE6CB" w:rsidR="007D2B5C" w:rsidRPr="00803D0F" w:rsidRDefault="004C290E" w:rsidP="005533A6">
      <w:pPr>
        <w:pStyle w:val="StyleBodyText12ptJustified"/>
        <w:numPr>
          <w:ilvl w:val="0"/>
          <w:numId w:val="29"/>
        </w:numPr>
        <w:spacing w:after="120"/>
      </w:pPr>
      <w:r>
        <w:t xml:space="preserve">Sub-surface </w:t>
      </w:r>
      <w:r w:rsidR="004B5832">
        <w:t>in</w:t>
      </w:r>
      <w:r>
        <w:t>flow</w:t>
      </w:r>
      <w:r w:rsidR="007D2B5C" w:rsidRPr="00803D0F">
        <w:t xml:space="preserve"> in the younger alluvium through the narrow bedrock canyon along the Temescal Wash from the Lee Lake Basin.</w:t>
      </w:r>
    </w:p>
    <w:p w14:paraId="4E250A99" w14:textId="03544919" w:rsidR="007D2B5C" w:rsidRPr="00803D0F" w:rsidRDefault="004C290E" w:rsidP="005533A6">
      <w:pPr>
        <w:pStyle w:val="StyleBodyText12ptJustified"/>
        <w:numPr>
          <w:ilvl w:val="0"/>
          <w:numId w:val="29"/>
        </w:numPr>
        <w:spacing w:after="120"/>
      </w:pPr>
      <w:r>
        <w:t xml:space="preserve">Sub-surface </w:t>
      </w:r>
      <w:r w:rsidR="004B5832">
        <w:t>in</w:t>
      </w:r>
      <w:r>
        <w:t xml:space="preserve">flow </w:t>
      </w:r>
      <w:r w:rsidR="007D2B5C" w:rsidRPr="00803D0F">
        <w:t xml:space="preserve">across the North Glen Ivy Fault from the Coldwater Basin. This fault is an effective groundwater barrier, and </w:t>
      </w:r>
      <w:r w:rsidR="00CD02B1">
        <w:t xml:space="preserve">sub-surface </w:t>
      </w:r>
      <w:r w:rsidR="007D2B5C" w:rsidRPr="00803D0F">
        <w:t xml:space="preserve">underflow across this fault may only occur after extensive recharge has filled the Coldwater Basin </w:t>
      </w:r>
      <w:r w:rsidR="007D2B5C" w:rsidRPr="00CE203E">
        <w:t xml:space="preserve">(John S. </w:t>
      </w:r>
      <w:r w:rsidR="002E4D82" w:rsidRPr="002F5C6F">
        <w:t xml:space="preserve">Murk </w:t>
      </w:r>
      <w:r w:rsidR="007D2B5C" w:rsidRPr="00803D0F">
        <w:t>Engineers, 1987).</w:t>
      </w:r>
    </w:p>
    <w:p w14:paraId="7E146406" w14:textId="25ECDBC3" w:rsidR="00633411" w:rsidRPr="00803D0F" w:rsidRDefault="00633411" w:rsidP="005533A6">
      <w:pPr>
        <w:pStyle w:val="StyleBodyText12ptJustified"/>
        <w:numPr>
          <w:ilvl w:val="0"/>
          <w:numId w:val="29"/>
        </w:numPr>
      </w:pPr>
      <w:r w:rsidRPr="00803D0F">
        <w:t>Deep infiltration of precipitation and applied water</w:t>
      </w:r>
      <w:r w:rsidR="001C58BC" w:rsidRPr="00803D0F">
        <w:t xml:space="preserve"> (DIPAW)</w:t>
      </w:r>
      <w:r w:rsidRPr="00803D0F">
        <w:t>.</w:t>
      </w:r>
      <w:r w:rsidR="00ED6A3B" w:rsidRPr="00803D0F">
        <w:t xml:space="preserve"> </w:t>
      </w:r>
      <w:r w:rsidR="004B5832">
        <w:t xml:space="preserve">The amount of water that can infiltrate </w:t>
      </w:r>
      <w:r w:rsidR="00024F18">
        <w:t xml:space="preserve">through </w:t>
      </w:r>
      <w:r w:rsidR="004B5832">
        <w:t>the soil zone is dependent on the properties of the soil, the overlying vegetation</w:t>
      </w:r>
      <w:r w:rsidR="00735776">
        <w:t>,</w:t>
      </w:r>
      <w:r w:rsidR="004B5832">
        <w:t xml:space="preserve"> and the timing and amount of precipitation and applied water that enters the soil. </w:t>
      </w:r>
      <w:r w:rsidR="001C58BC" w:rsidRPr="00803D0F">
        <w:t>DIPAW</w:t>
      </w:r>
      <w:r w:rsidRPr="00803D0F">
        <w:t xml:space="preserve"> occurs </w:t>
      </w:r>
      <w:r w:rsidR="004B5832">
        <w:t>when the sum of the water applied and stored in the soil water exceeds field capacity</w:t>
      </w:r>
      <w:r w:rsidR="00DD2A88">
        <w:t xml:space="preserve"> and evapotranspiration.</w:t>
      </w:r>
    </w:p>
    <w:p w14:paraId="6F4E2F37" w14:textId="77B0E8CD" w:rsidR="005101C9" w:rsidRDefault="003307D3" w:rsidP="002E4D82">
      <w:pPr>
        <w:pStyle w:val="Heading4"/>
      </w:pPr>
      <w:bookmarkStart w:id="31" w:name="_Toc427921426"/>
      <w:r>
        <w:t xml:space="preserve">Deep </w:t>
      </w:r>
      <w:r w:rsidR="001C58BC">
        <w:t>Infiltration</w:t>
      </w:r>
      <w:r>
        <w:t xml:space="preserve"> of</w:t>
      </w:r>
      <w:r w:rsidR="005101C9">
        <w:t xml:space="preserve"> </w:t>
      </w:r>
      <w:r>
        <w:t>P</w:t>
      </w:r>
      <w:r w:rsidRPr="003307D3">
        <w:t xml:space="preserve">recipitation and </w:t>
      </w:r>
      <w:r>
        <w:t>A</w:t>
      </w:r>
      <w:r w:rsidRPr="003307D3">
        <w:t xml:space="preserve">pplied </w:t>
      </w:r>
      <w:r>
        <w:t>W</w:t>
      </w:r>
      <w:r w:rsidRPr="003307D3">
        <w:t xml:space="preserve">ater </w:t>
      </w:r>
      <w:r w:rsidR="002E4D82">
        <w:t>(DIPAW)</w:t>
      </w:r>
      <w:bookmarkEnd w:id="31"/>
    </w:p>
    <w:p w14:paraId="257646B2" w14:textId="4DC6AF99" w:rsidR="005F6225" w:rsidRDefault="00735776" w:rsidP="005101C9">
      <w:pPr>
        <w:pStyle w:val="StyleBodyText12ptJustified"/>
      </w:pPr>
      <w:r>
        <w:t xml:space="preserve">Land </w:t>
      </w:r>
      <w:r w:rsidR="0027484A">
        <w:t xml:space="preserve">use and associated water use within the Bedford Basin and the Upper Temescal Valley </w:t>
      </w:r>
      <w:r>
        <w:t xml:space="preserve">have </w:t>
      </w:r>
      <w:r w:rsidR="0027484A">
        <w:t xml:space="preserve">changed over time, and these changes have impacted </w:t>
      </w:r>
      <w:r w:rsidR="001C58BC">
        <w:t>DIPAW</w:t>
      </w:r>
      <w:r>
        <w:t xml:space="preserve">: changes </w:t>
      </w:r>
      <w:r w:rsidR="0027484A">
        <w:t xml:space="preserve">in </w:t>
      </w:r>
      <w:r w:rsidR="004B5832">
        <w:t>D</w:t>
      </w:r>
      <w:r w:rsidR="00DD2A88">
        <w:t>I</w:t>
      </w:r>
      <w:r w:rsidR="004B5832">
        <w:t xml:space="preserve">PAW are directly related to the </w:t>
      </w:r>
      <w:r w:rsidR="002E4D82">
        <w:t xml:space="preserve">yield </w:t>
      </w:r>
      <w:r w:rsidR="004B5832">
        <w:t xml:space="preserve">of </w:t>
      </w:r>
      <w:r w:rsidR="005101C9">
        <w:t xml:space="preserve">the Bedford </w:t>
      </w:r>
      <w:r w:rsidR="006E6E3E">
        <w:t>B</w:t>
      </w:r>
      <w:r w:rsidR="005101C9">
        <w:t>asin.</w:t>
      </w:r>
      <w:r w:rsidR="004C290E">
        <w:t xml:space="preserve"> </w:t>
      </w:r>
    </w:p>
    <w:p w14:paraId="4582DBED" w14:textId="349ABC17" w:rsidR="005101C9" w:rsidRDefault="00735776" w:rsidP="005101C9">
      <w:pPr>
        <w:pStyle w:val="StyleBodyText12ptJustified"/>
      </w:pPr>
      <w:r>
        <w:t>Figure 3-7 summarizes l</w:t>
      </w:r>
      <w:r w:rsidRPr="00F015FF">
        <w:t xml:space="preserve">and </w:t>
      </w:r>
      <w:r w:rsidR="005101C9" w:rsidRPr="00F015FF">
        <w:t xml:space="preserve">use overlying the Bedford Basin </w:t>
      </w:r>
      <w:r w:rsidR="000723E1">
        <w:t>for years</w:t>
      </w:r>
      <w:r w:rsidR="000723E1" w:rsidRPr="00F015FF">
        <w:t xml:space="preserve"> </w:t>
      </w:r>
      <w:r w:rsidR="005101C9" w:rsidRPr="00F015FF">
        <w:t>1949, 1963, 1990, and 2014</w:t>
      </w:r>
      <w:r w:rsidR="005101C9" w:rsidRPr="002D7097">
        <w:t xml:space="preserve">. The land use characterizations </w:t>
      </w:r>
      <w:r w:rsidR="000723E1">
        <w:t>prior to</w:t>
      </w:r>
      <w:r w:rsidR="005101C9" w:rsidRPr="002D7097">
        <w:t xml:space="preserve"> 1975 are based on land use maps prepared by the DWR and historical aerial photos. The land use characterizations from 1990 to 2014 are based on land use maps prepared by the Southern California Association of Governments (SCAG). The land use characterization for 2014 is based on 2005 land use with updated information using Google Earth Imagery. Figure 3-</w:t>
      </w:r>
      <w:r w:rsidR="002D7097" w:rsidRPr="002D7097">
        <w:t>7</w:t>
      </w:r>
      <w:r w:rsidR="00DD2A88">
        <w:t xml:space="preserve"> </w:t>
      </w:r>
      <w:r w:rsidR="005101C9" w:rsidRPr="00F015FF">
        <w:t>show</w:t>
      </w:r>
      <w:r w:rsidR="002F52B2">
        <w:t>s</w:t>
      </w:r>
      <w:r w:rsidR="005101C9">
        <w:t xml:space="preserve"> a change in land use from mainly non-irrigated field crops in the late </w:t>
      </w:r>
      <w:r w:rsidR="005533A6">
        <w:t xml:space="preserve">1940s </w:t>
      </w:r>
      <w:r w:rsidR="005101C9">
        <w:t xml:space="preserve">to citrus in the early 1960s </w:t>
      </w:r>
      <w:r w:rsidR="002F52B2">
        <w:t xml:space="preserve">and </w:t>
      </w:r>
      <w:r w:rsidR="005101C9">
        <w:t xml:space="preserve">to mainly urban land uses </w:t>
      </w:r>
      <w:r w:rsidR="005533A6">
        <w:t>in</w:t>
      </w:r>
      <w:r w:rsidR="005101C9">
        <w:t xml:space="preserve"> </w:t>
      </w:r>
      <w:r w:rsidR="005533A6" w:rsidRPr="000B382E">
        <w:t>20</w:t>
      </w:r>
      <w:r w:rsidR="005533A6">
        <w:t>14</w:t>
      </w:r>
      <w:r w:rsidR="005101C9">
        <w:t xml:space="preserve">. As of 2014, large portions of urbanized residential areas are identified </w:t>
      </w:r>
      <w:r w:rsidR="005101C9" w:rsidRPr="007B295D">
        <w:t xml:space="preserve">west of the Temescal Wash and in </w:t>
      </w:r>
      <w:r w:rsidR="005101C9">
        <w:t xml:space="preserve">the </w:t>
      </w:r>
      <w:r w:rsidR="005101C9" w:rsidRPr="007B295D">
        <w:t xml:space="preserve">Bedford Wash. </w:t>
      </w:r>
      <w:r w:rsidR="005101C9">
        <w:t xml:space="preserve">Urbanized commercial and industrial land use is also located along and </w:t>
      </w:r>
      <w:r w:rsidR="00DD2A88">
        <w:t xml:space="preserve">immediately </w:t>
      </w:r>
      <w:r w:rsidR="005101C9">
        <w:t>adjacent to the Temescal Wash.</w:t>
      </w:r>
    </w:p>
    <w:p w14:paraId="483BF4F4" w14:textId="1928C946" w:rsidR="00C555E7" w:rsidRDefault="00C555E7" w:rsidP="00C555E7">
      <w:pPr>
        <w:pStyle w:val="StyleBodyText12ptJustified"/>
      </w:pPr>
      <w:r w:rsidRPr="00867B3B">
        <w:t>With few exceptions, as land is converted from natural undeveloped conditions to human uses, it becomes more impervious and produces more storm</w:t>
      </w:r>
      <w:r>
        <w:t>-</w:t>
      </w:r>
      <w:r w:rsidRPr="00867B3B">
        <w:t>water runoff.</w:t>
      </w:r>
      <w:r w:rsidR="002E0521">
        <w:t xml:space="preserve"> </w:t>
      </w:r>
      <w:r w:rsidRPr="00867B3B">
        <w:t>Historically, when land</w:t>
      </w:r>
      <w:r>
        <w:t xml:space="preserve"> </w:t>
      </w:r>
      <w:r w:rsidRPr="00867B3B">
        <w:t xml:space="preserve">use </w:t>
      </w:r>
      <w:r w:rsidR="002F52B2">
        <w:t xml:space="preserve">has been </w:t>
      </w:r>
      <w:r w:rsidRPr="00867B3B">
        <w:t xml:space="preserve">converted from natural and agricultural uses to urban </w:t>
      </w:r>
      <w:r>
        <w:t xml:space="preserve">land </w:t>
      </w:r>
      <w:r w:rsidRPr="00867B3B">
        <w:t xml:space="preserve">uses, the imperviousness </w:t>
      </w:r>
      <w:r>
        <w:t>can increase</w:t>
      </w:r>
      <w:r w:rsidRPr="00867B3B">
        <w:t xml:space="preserve"> from near zero to between 60 and almost 100 percent, depen</w:t>
      </w:r>
      <w:r>
        <w:t xml:space="preserve">ding on the specific land use (WEI, 2014). Likewise, with respect to irrigated areas, citrus irrigation efficiency improves over time with modern irrigation techniques. For example, </w:t>
      </w:r>
      <w:r w:rsidR="002F52B2">
        <w:t xml:space="preserve">the </w:t>
      </w:r>
      <w:r>
        <w:t xml:space="preserve">typical efficiency of flood irrigation is 60 percent or less; modern irrigation methods, such as </w:t>
      </w:r>
      <w:r w:rsidR="00E30DBA">
        <w:t xml:space="preserve">drip </w:t>
      </w:r>
      <w:r>
        <w:t xml:space="preserve">irrigation, can achieve 90 percent </w:t>
      </w:r>
      <w:r w:rsidRPr="000734E7">
        <w:t>efficiency (P</w:t>
      </w:r>
      <w:r>
        <w:t>IER</w:t>
      </w:r>
      <w:r w:rsidRPr="000734E7">
        <w:t>, 2006).</w:t>
      </w:r>
      <w:r>
        <w:t xml:space="preserve"> The combination of higher imperviousness and higher irrigation efficiency associated with urban land uses reduce</w:t>
      </w:r>
      <w:r w:rsidR="002F52B2">
        <w:t>s</w:t>
      </w:r>
      <w:r>
        <w:t xml:space="preserve"> return flows of applied water to the groundwater basin.</w:t>
      </w:r>
    </w:p>
    <w:p w14:paraId="3F311706" w14:textId="2F2E7D12" w:rsidR="00C555E7" w:rsidRDefault="00C555E7" w:rsidP="00C555E7">
      <w:pPr>
        <w:pStyle w:val="StyleBodyText12ptJustified"/>
      </w:pPr>
      <w:r>
        <w:t xml:space="preserve">As part of WEI’s </w:t>
      </w:r>
      <w:r w:rsidR="00E30DBA">
        <w:t xml:space="preserve">on-going </w:t>
      </w:r>
      <w:r>
        <w:t>development of a Salt and Nutrient Management Plan for the Upper Temescal Valley</w:t>
      </w:r>
      <w:r w:rsidR="002F52B2">
        <w:t>,</w:t>
      </w:r>
      <w:r>
        <w:t xml:space="preserve"> an applied water and return flow analysis was completed for the entire Upper Temescal Valley. It is important to understand changes in land use and water use over the entire Upper Temescal Valley and not specifically </w:t>
      </w:r>
      <w:r w:rsidR="00DD2A88">
        <w:t xml:space="preserve">the </w:t>
      </w:r>
      <w:r>
        <w:t>Bedford Basin only</w:t>
      </w:r>
      <w:r w:rsidR="002F52B2">
        <w:t xml:space="preserve">: </w:t>
      </w:r>
      <w:r>
        <w:t xml:space="preserve">land use and changes </w:t>
      </w:r>
      <w:r w:rsidR="00E41DF0">
        <w:t xml:space="preserve">in </w:t>
      </w:r>
      <w:r>
        <w:t xml:space="preserve">water use upstream of the Bedford Basin </w:t>
      </w:r>
      <w:r w:rsidR="006E6E3E">
        <w:t>impact both surface-</w:t>
      </w:r>
      <w:r w:rsidRPr="000A37D8">
        <w:t>water in the Temescal Wash and groundwater within the Bedford Basin. Table 3-2 summarizes</w:t>
      </w:r>
      <w:r>
        <w:t xml:space="preserve"> the estimated annual </w:t>
      </w:r>
      <w:r w:rsidR="00E30DBA">
        <w:t xml:space="preserve">irrigation </w:t>
      </w:r>
      <w:r>
        <w:t>return flow</w:t>
      </w:r>
      <w:r w:rsidR="001C0FF4">
        <w:t xml:space="preserve"> for the Upper Temescal Valley</w:t>
      </w:r>
      <w:r>
        <w:t xml:space="preserve">. </w:t>
      </w:r>
      <w:r w:rsidR="001C0FF4">
        <w:t xml:space="preserve">The Coldwater Basin is not included in this analysis, as we consider the </w:t>
      </w:r>
      <w:r w:rsidR="001C0FF4" w:rsidRPr="001C0FF4">
        <w:t xml:space="preserve">North Glen Ivy Fault </w:t>
      </w:r>
      <w:r w:rsidR="001C0FF4">
        <w:t>to serve as a groundwater barrier between the Coldwater and Bedford Basin</w:t>
      </w:r>
      <w:r w:rsidR="0010078F">
        <w:t>s</w:t>
      </w:r>
      <w:r w:rsidR="001C0FF4">
        <w:t>.</w:t>
      </w:r>
      <w:r>
        <w:t xml:space="preserve"> Historically, </w:t>
      </w:r>
      <w:r w:rsidR="00E30DBA">
        <w:t xml:space="preserve">irrigation </w:t>
      </w:r>
      <w:r>
        <w:t>return flows ranged from approximately 4,000 to 8,725 acre-feet/yr between 1933 and 1975</w:t>
      </w:r>
      <w:r w:rsidR="006E6E3E">
        <w:t>, respectively</w:t>
      </w:r>
      <w:r>
        <w:t xml:space="preserve">. The relatively large </w:t>
      </w:r>
      <w:r w:rsidR="00E30DBA">
        <w:t xml:space="preserve">magnitude of irrigation </w:t>
      </w:r>
      <w:r>
        <w:t xml:space="preserve">return flows between 1963 and 1975 are attributed to lower irrigation efficiency </w:t>
      </w:r>
      <w:r w:rsidR="0037791B">
        <w:t>from</w:t>
      </w:r>
      <w:r>
        <w:t xml:space="preserve"> flood-irrigated citrus groves. Between 1990 and present day, return flows ranged from </w:t>
      </w:r>
      <w:r w:rsidRPr="00CE143A">
        <w:t>approximately 2,</w:t>
      </w:r>
      <w:r w:rsidR="001C0FF4" w:rsidRPr="00CE143A">
        <w:t>4</w:t>
      </w:r>
      <w:r w:rsidRPr="00CE143A">
        <w:t>00 to 3,</w:t>
      </w:r>
      <w:r w:rsidR="001C0FF4" w:rsidRPr="00CE143A">
        <w:t>735</w:t>
      </w:r>
      <w:r>
        <w:t xml:space="preserve"> acre-feet/yr. These lower </w:t>
      </w:r>
      <w:r w:rsidR="00E30DBA">
        <w:t xml:space="preserve">irrigation </w:t>
      </w:r>
      <w:r>
        <w:t>return flows are attributed to higher irrigation efficiency</w:t>
      </w:r>
      <w:r w:rsidR="0047520A">
        <w:t xml:space="preserve"> </w:t>
      </w:r>
      <w:r>
        <w:t>and</w:t>
      </w:r>
      <w:r w:rsidR="0047520A">
        <w:t xml:space="preserve"> reductions in the area where irrigation occurs. </w:t>
      </w:r>
    </w:p>
    <w:p w14:paraId="7CB48654" w14:textId="77777777" w:rsidR="001F5949" w:rsidRDefault="005D6DFA" w:rsidP="00171A78">
      <w:pPr>
        <w:pStyle w:val="Heading3"/>
      </w:pPr>
      <w:bookmarkStart w:id="32" w:name="_Toc427921427"/>
      <w:r>
        <w:t>Groundwater Discharge</w:t>
      </w:r>
      <w:bookmarkEnd w:id="32"/>
    </w:p>
    <w:p w14:paraId="34923BF4" w14:textId="601DF34B" w:rsidR="001F5949" w:rsidRDefault="001A7F74" w:rsidP="00D75382">
      <w:pPr>
        <w:pStyle w:val="StyleBodyText12ptJustified"/>
      </w:pPr>
      <w:r>
        <w:t xml:space="preserve">Groundwater discharge from the Bedford Basin occurs primarily as groundwater production from wells, </w:t>
      </w:r>
      <w:r w:rsidR="001348CD">
        <w:t>sub-surface outflow</w:t>
      </w:r>
      <w:r w:rsidR="000413C9">
        <w:t xml:space="preserve"> </w:t>
      </w:r>
      <w:r>
        <w:t xml:space="preserve">to the Temescal Basin, evapotranspiration from riparian vegetation growing along the Temescal Wash, and </w:t>
      </w:r>
      <w:r w:rsidR="00B50B9C">
        <w:t>as</w:t>
      </w:r>
      <w:r>
        <w:t xml:space="preserve"> groundwater discharge to surface water in the Temescal Wash.</w:t>
      </w:r>
    </w:p>
    <w:p w14:paraId="6912C7CB" w14:textId="77777777" w:rsidR="00CF13C4" w:rsidRDefault="00CF13C4">
      <w:pPr>
        <w:pStyle w:val="Heading4"/>
      </w:pPr>
      <w:bookmarkStart w:id="33" w:name="_Toc427921428"/>
      <w:r>
        <w:t>Groundwater Production</w:t>
      </w:r>
      <w:bookmarkEnd w:id="33"/>
    </w:p>
    <w:p w14:paraId="1087B3E1" w14:textId="5F8339B6" w:rsidR="00DB276F" w:rsidRDefault="00B07EA2" w:rsidP="00CF13C4">
      <w:pPr>
        <w:pStyle w:val="StyleBodyText12ptJustified"/>
      </w:pPr>
      <w:r>
        <w:t>Historic g</w:t>
      </w:r>
      <w:r w:rsidRPr="00B07EA2">
        <w:t xml:space="preserve">roundwater </w:t>
      </w:r>
      <w:r>
        <w:t xml:space="preserve">production </w:t>
      </w:r>
      <w:r w:rsidRPr="00B07EA2">
        <w:t xml:space="preserve">data for wells in the Bedford and Lee Lake Basins were available from Corona, </w:t>
      </w:r>
      <w:r w:rsidR="006B7BA5">
        <w:t xml:space="preserve">the </w:t>
      </w:r>
      <w:r w:rsidRPr="00B07EA2">
        <w:t xml:space="preserve">EVMWD, </w:t>
      </w:r>
      <w:r w:rsidR="006B7BA5">
        <w:t xml:space="preserve">the </w:t>
      </w:r>
      <w:r w:rsidRPr="00B07EA2">
        <w:t>T</w:t>
      </w:r>
      <w:r>
        <w:t xml:space="preserve">emescal Water Company, and </w:t>
      </w:r>
      <w:r w:rsidRPr="002E0BB0">
        <w:t>Watermaster Support Services</w:t>
      </w:r>
      <w:r w:rsidR="006B7BA5">
        <w:t>;</w:t>
      </w:r>
      <w:r>
        <w:rPr>
          <w:rStyle w:val="FootnoteReference"/>
        </w:rPr>
        <w:footnoteReference w:id="13"/>
      </w:r>
      <w:r w:rsidR="00C63B3E">
        <w:t xml:space="preserve"> </w:t>
      </w:r>
      <w:r w:rsidR="00BE3DA1">
        <w:t>s</w:t>
      </w:r>
      <w:r w:rsidR="006B7BA5">
        <w:t xml:space="preserve">pecifically, groundwater </w:t>
      </w:r>
      <w:r w:rsidR="00C63B3E">
        <w:t xml:space="preserve">production data </w:t>
      </w:r>
      <w:r w:rsidR="006B7BA5">
        <w:t xml:space="preserve">were </w:t>
      </w:r>
      <w:r w:rsidR="00C63B3E">
        <w:t xml:space="preserve">available </w:t>
      </w:r>
      <w:r w:rsidR="00DE1296">
        <w:t>f</w:t>
      </w:r>
      <w:r w:rsidR="00C63B3E">
        <w:t>or 37 wells located throughout the Bedford and Lee Lake Basins beginning in 194</w:t>
      </w:r>
      <w:r w:rsidR="005A63AA">
        <w:t>7</w:t>
      </w:r>
      <w:r w:rsidR="00C63B3E">
        <w:t xml:space="preserve">. </w:t>
      </w:r>
      <w:r w:rsidR="00CF13C4" w:rsidRPr="002D7097">
        <w:t xml:space="preserve">Figure </w:t>
      </w:r>
      <w:r w:rsidR="00960593" w:rsidRPr="002D7097">
        <w:t>3-</w:t>
      </w:r>
      <w:r w:rsidR="002D7097" w:rsidRPr="002D7097">
        <w:t>4</w:t>
      </w:r>
      <w:r w:rsidR="00CF13C4" w:rsidRPr="002D7097">
        <w:t xml:space="preserve"> </w:t>
      </w:r>
      <w:r w:rsidR="002214AA" w:rsidRPr="002D7097">
        <w:t>shows</w:t>
      </w:r>
      <w:r w:rsidR="00567679">
        <w:t xml:space="preserve"> groundwater level data from select wells for the period </w:t>
      </w:r>
      <w:r w:rsidR="006B7BA5">
        <w:t xml:space="preserve">of </w:t>
      </w:r>
      <w:r w:rsidR="00567679">
        <w:t xml:space="preserve">1945 through 2014, </w:t>
      </w:r>
      <w:r w:rsidR="00CF13C4">
        <w:t xml:space="preserve">annual groundwater production for </w:t>
      </w:r>
      <w:r w:rsidR="002B1EDB">
        <w:t xml:space="preserve">the </w:t>
      </w:r>
      <w:r w:rsidR="00B544E0">
        <w:t>Bedford</w:t>
      </w:r>
      <w:r w:rsidR="00463972">
        <w:t xml:space="preserve"> and </w:t>
      </w:r>
      <w:r w:rsidR="002B1EDB">
        <w:t>Lee Lake</w:t>
      </w:r>
      <w:r w:rsidR="00463972">
        <w:t xml:space="preserve"> </w:t>
      </w:r>
      <w:r w:rsidR="00CF13C4">
        <w:t>Basin</w:t>
      </w:r>
      <w:r w:rsidR="00B544E0">
        <w:t>s</w:t>
      </w:r>
      <w:r w:rsidR="00CF13C4">
        <w:t xml:space="preserve"> between </w:t>
      </w:r>
      <w:r w:rsidR="005A63AA">
        <w:t xml:space="preserve">1947 </w:t>
      </w:r>
      <w:r w:rsidR="00CF13C4">
        <w:t xml:space="preserve">and </w:t>
      </w:r>
      <w:r w:rsidR="005A63AA">
        <w:t>2012</w:t>
      </w:r>
      <w:r w:rsidR="002214AA">
        <w:t>,</w:t>
      </w:r>
      <w:r w:rsidR="00567679" w:rsidRPr="00567679">
        <w:t xml:space="preserve"> </w:t>
      </w:r>
      <w:r w:rsidR="00567679">
        <w:t xml:space="preserve">annual wastewater discharge to </w:t>
      </w:r>
      <w:r w:rsidR="006B7BA5">
        <w:t xml:space="preserve">the </w:t>
      </w:r>
      <w:r w:rsidR="00567679">
        <w:t xml:space="preserve">Temescal Wash from 1988 </w:t>
      </w:r>
      <w:r w:rsidR="00567679" w:rsidRPr="00CE143A">
        <w:t>through 2014</w:t>
      </w:r>
      <w:r w:rsidR="006B7BA5">
        <w:t>,</w:t>
      </w:r>
      <w:r w:rsidR="00567679">
        <w:t xml:space="preserve"> and the annual precipitation observed at Lake Elsinore</w:t>
      </w:r>
      <w:r w:rsidR="00CF13C4">
        <w:t xml:space="preserve">. </w:t>
      </w:r>
      <w:r w:rsidR="002B1EDB">
        <w:t>Groundwater production from the Lee Lake</w:t>
      </w:r>
      <w:r w:rsidR="00463972">
        <w:t xml:space="preserve"> Basin</w:t>
      </w:r>
      <w:r w:rsidR="002B1EDB">
        <w:t xml:space="preserve"> is important to review in conjunction with groundwater production from the Bedford Basin because groundwater production from </w:t>
      </w:r>
      <w:r w:rsidR="001348CD">
        <w:t xml:space="preserve">the </w:t>
      </w:r>
      <w:r w:rsidR="00463972">
        <w:t>Lee Lake Basin</w:t>
      </w:r>
      <w:r w:rsidR="002B1EDB">
        <w:t xml:space="preserve"> may impact groundwater levels and production in the Bedford Basin. </w:t>
      </w:r>
      <w:r w:rsidR="00DB276F">
        <w:t xml:space="preserve">The Gregory wells </w:t>
      </w:r>
      <w:r w:rsidR="006B7BA5">
        <w:t xml:space="preserve">were </w:t>
      </w:r>
      <w:r w:rsidR="00DB276F">
        <w:t xml:space="preserve">included </w:t>
      </w:r>
      <w:r w:rsidR="001C4516">
        <w:t>as</w:t>
      </w:r>
      <w:r w:rsidR="00DB276F">
        <w:t xml:space="preserve"> </w:t>
      </w:r>
      <w:r w:rsidR="001C4516">
        <w:t>part of the Bedford Basin dataset because of the</w:t>
      </w:r>
      <w:r w:rsidR="006B7BA5">
        <w:t>ir</w:t>
      </w:r>
      <w:r w:rsidR="001C4516">
        <w:t xml:space="preserve"> proximity to the Bedford</w:t>
      </w:r>
      <w:r w:rsidR="006B7BA5">
        <w:t>-</w:t>
      </w:r>
      <w:r w:rsidR="00DB276F">
        <w:t>Lee Lake Basin boundary.</w:t>
      </w:r>
    </w:p>
    <w:p w14:paraId="2305EF46" w14:textId="466DA790" w:rsidR="00C47772" w:rsidRDefault="00567679" w:rsidP="00CF13C4">
      <w:pPr>
        <w:pStyle w:val="StyleBodyText12ptJustified"/>
      </w:pPr>
      <w:r>
        <w:t xml:space="preserve">In </w:t>
      </w:r>
      <w:r w:rsidR="000955E7">
        <w:t xml:space="preserve">the </w:t>
      </w:r>
      <w:r>
        <w:t>Lee Lake Basin</w:t>
      </w:r>
      <w:r w:rsidR="000955E7">
        <w:t>,</w:t>
      </w:r>
      <w:r w:rsidR="00CF13C4" w:rsidRPr="00D61CA0">
        <w:t xml:space="preserve"> </w:t>
      </w:r>
      <w:r w:rsidR="00B544E0" w:rsidRPr="00D61CA0">
        <w:t xml:space="preserve">annual </w:t>
      </w:r>
      <w:r w:rsidR="00CF13C4" w:rsidRPr="00D61CA0">
        <w:t xml:space="preserve">groundwater production ranged from approximately </w:t>
      </w:r>
      <w:r w:rsidR="00463972" w:rsidRPr="00D61CA0">
        <w:t>125 to 2,</w:t>
      </w:r>
      <w:r w:rsidR="005A63AA">
        <w:t>540</w:t>
      </w:r>
      <w:r w:rsidR="005A63AA" w:rsidRPr="00D61CA0">
        <w:t xml:space="preserve"> </w:t>
      </w:r>
      <w:r w:rsidR="00CF13C4" w:rsidRPr="00D61CA0">
        <w:t xml:space="preserve">acre-ft/yr and averaged approximately </w:t>
      </w:r>
      <w:r w:rsidR="00463972" w:rsidRPr="00D61CA0">
        <w:t>1,</w:t>
      </w:r>
      <w:r w:rsidR="005A63AA">
        <w:t>100</w:t>
      </w:r>
      <w:r w:rsidR="005A63AA" w:rsidRPr="00D61CA0">
        <w:t xml:space="preserve"> </w:t>
      </w:r>
      <w:r w:rsidR="00CF13C4" w:rsidRPr="00D61CA0">
        <w:t>acre-ft/yr</w:t>
      </w:r>
      <w:r w:rsidR="000955E7">
        <w:t>.</w:t>
      </w:r>
      <w:r w:rsidR="002B1EDB" w:rsidRPr="00D61CA0">
        <w:t xml:space="preserve"> </w:t>
      </w:r>
      <w:r w:rsidR="00CF13C4" w:rsidRPr="00D61CA0">
        <w:t xml:space="preserve">Groundwater production </w:t>
      </w:r>
      <w:r w:rsidR="000955E7">
        <w:t xml:space="preserve">from the Lee Lake Basin </w:t>
      </w:r>
      <w:r w:rsidR="00CF13C4" w:rsidRPr="00D61CA0">
        <w:t xml:space="preserve">was the greatest </w:t>
      </w:r>
      <w:r w:rsidR="000955E7">
        <w:t>between</w:t>
      </w:r>
      <w:r w:rsidRPr="00D61CA0">
        <w:t xml:space="preserve"> </w:t>
      </w:r>
      <w:r w:rsidR="005A63AA" w:rsidRPr="00D61CA0">
        <w:t>197</w:t>
      </w:r>
      <w:r w:rsidR="005A63AA">
        <w:t>1</w:t>
      </w:r>
      <w:r w:rsidR="005A63AA" w:rsidRPr="00D61CA0">
        <w:t xml:space="preserve"> </w:t>
      </w:r>
      <w:r w:rsidR="00D61CA0" w:rsidRPr="00D61CA0">
        <w:t xml:space="preserve">and </w:t>
      </w:r>
      <w:r w:rsidR="005A63AA" w:rsidRPr="00D61CA0">
        <w:t>200</w:t>
      </w:r>
      <w:r w:rsidR="005A63AA">
        <w:t>4</w:t>
      </w:r>
      <w:r w:rsidR="00B544E0" w:rsidRPr="00D61CA0">
        <w:t xml:space="preserve">, averaging approximately </w:t>
      </w:r>
      <w:r w:rsidR="00D61CA0" w:rsidRPr="00D61CA0">
        <w:t>1,</w:t>
      </w:r>
      <w:r w:rsidR="005A63AA">
        <w:t>500</w:t>
      </w:r>
      <w:r w:rsidR="005A63AA" w:rsidRPr="00D61CA0">
        <w:t xml:space="preserve"> </w:t>
      </w:r>
      <w:r w:rsidR="000955E7">
        <w:t xml:space="preserve">acre-ft/yr. </w:t>
      </w:r>
      <w:r>
        <w:t xml:space="preserve">In the Bedford Basin, </w:t>
      </w:r>
      <w:r w:rsidR="000955E7">
        <w:t xml:space="preserve">annual </w:t>
      </w:r>
      <w:r w:rsidRPr="00D61CA0">
        <w:t>groundwater production ranged from approximately 90 to 4,</w:t>
      </w:r>
      <w:r>
        <w:t>645</w:t>
      </w:r>
      <w:r w:rsidRPr="00D61CA0">
        <w:t xml:space="preserve"> acre-ft/yr and averaged approximately 2,</w:t>
      </w:r>
      <w:r>
        <w:t>330</w:t>
      </w:r>
      <w:r w:rsidRPr="00D61CA0">
        <w:t xml:space="preserve"> acre-ft/yr.</w:t>
      </w:r>
      <w:r>
        <w:t xml:space="preserve"> </w:t>
      </w:r>
      <w:r w:rsidR="00371140">
        <w:t>Groundwater production from the Bedford Basin was the greatest between 1948 and 198</w:t>
      </w:r>
      <w:r w:rsidR="005A63AA">
        <w:t>4</w:t>
      </w:r>
      <w:r w:rsidR="006B7BA5">
        <w:t>,</w:t>
      </w:r>
      <w:r w:rsidRPr="00567679">
        <w:t xml:space="preserve"> </w:t>
      </w:r>
      <w:r w:rsidRPr="00D61CA0">
        <w:t>averaging approximately 3,</w:t>
      </w:r>
      <w:r>
        <w:t>000</w:t>
      </w:r>
      <w:r w:rsidRPr="00D61CA0">
        <w:t xml:space="preserve"> acre-ft/yr</w:t>
      </w:r>
      <w:r w:rsidR="000955E7">
        <w:t xml:space="preserve">. Groundwater production from the Bedford Basin </w:t>
      </w:r>
      <w:r w:rsidR="00371140">
        <w:t xml:space="preserve">began decreasing </w:t>
      </w:r>
      <w:r w:rsidR="005A63AA">
        <w:t>in the late 1980s</w:t>
      </w:r>
      <w:r w:rsidR="00371140">
        <w:t xml:space="preserve"> and has be</w:t>
      </w:r>
      <w:r w:rsidR="005F6225">
        <w:t>en</w:t>
      </w:r>
      <w:r w:rsidR="00371140">
        <w:t xml:space="preserve"> significantly declining since 2005.</w:t>
      </w:r>
    </w:p>
    <w:p w14:paraId="177AA327" w14:textId="01AACD38" w:rsidR="006E0E2A" w:rsidRDefault="006B7BA5" w:rsidP="00CF13C4">
      <w:pPr>
        <w:pStyle w:val="StyleBodyText12ptJustified"/>
      </w:pPr>
      <w:r>
        <w:t>R</w:t>
      </w:r>
      <w:r w:rsidRPr="00C9709E">
        <w:t xml:space="preserve">eview </w:t>
      </w:r>
      <w:r w:rsidR="00C47772" w:rsidRPr="00C9709E">
        <w:t>of Figure 3-7 indicates that since 1978</w:t>
      </w:r>
      <w:r>
        <w:t>,</w:t>
      </w:r>
      <w:r w:rsidR="00C47772" w:rsidRPr="00C9709E">
        <w:t xml:space="preserve"> groundwater production </w:t>
      </w:r>
      <w:r>
        <w:t>has been</w:t>
      </w:r>
      <w:r w:rsidRPr="00C9709E">
        <w:t xml:space="preserve"> </w:t>
      </w:r>
      <w:r w:rsidR="00C47772" w:rsidRPr="00C9709E">
        <w:t>less than the recharge potential of the basin</w:t>
      </w:r>
      <w:r w:rsidR="00BE3DA1">
        <w:t>.</w:t>
      </w:r>
      <w:r w:rsidR="00BE3DA1" w:rsidRPr="00C9709E">
        <w:t xml:space="preserve"> </w:t>
      </w:r>
      <w:r w:rsidR="00BE3DA1">
        <w:t>This is evident in the groundwater levels</w:t>
      </w:r>
      <w:r w:rsidR="009F32DB">
        <w:t>—</w:t>
      </w:r>
      <w:r w:rsidR="00C47772" w:rsidRPr="00C9709E">
        <w:t xml:space="preserve">as </w:t>
      </w:r>
      <w:r>
        <w:t xml:space="preserve">the </w:t>
      </w:r>
      <w:r w:rsidR="00C47772" w:rsidRPr="00C9709E">
        <w:t>basin appears to be full</w:t>
      </w:r>
      <w:r w:rsidR="00D369A9">
        <w:t xml:space="preserve"> </w:t>
      </w:r>
      <w:r w:rsidR="00913EC8">
        <w:t>in the post-1978 period</w:t>
      </w:r>
      <w:r w:rsidR="00C47772" w:rsidRPr="00C9709E">
        <w:t xml:space="preserve">. This means that sustainable groundwater production </w:t>
      </w:r>
      <w:r>
        <w:t>was</w:t>
      </w:r>
      <w:r w:rsidRPr="00C9709E">
        <w:t xml:space="preserve"> </w:t>
      </w:r>
      <w:r w:rsidR="00C47772" w:rsidRPr="00C9709E">
        <w:t xml:space="preserve">greater </w:t>
      </w:r>
      <w:r w:rsidR="009F32DB">
        <w:t>in</w:t>
      </w:r>
      <w:r w:rsidR="009F32DB" w:rsidRPr="00C9709E">
        <w:t xml:space="preserve"> </w:t>
      </w:r>
      <w:r w:rsidR="00C47772" w:rsidRPr="00C9709E">
        <w:t>the historical production</w:t>
      </w:r>
      <w:r w:rsidR="00BE3DA1">
        <w:t xml:space="preserve"> period prior to 1978</w:t>
      </w:r>
      <w:r w:rsidR="00D369A9">
        <w:t>.</w:t>
      </w:r>
      <w:r w:rsidR="00C47772" w:rsidRPr="00C9709E">
        <w:t xml:space="preserve"> </w:t>
      </w:r>
    </w:p>
    <w:p w14:paraId="64B66DDC" w14:textId="64666CCA" w:rsidR="00C47772" w:rsidRDefault="00C47772" w:rsidP="00CF13C4">
      <w:pPr>
        <w:pStyle w:val="StyleBodyText12ptJustified"/>
      </w:pPr>
      <w:r w:rsidRPr="00F373C6">
        <w:t xml:space="preserve">The average </w:t>
      </w:r>
      <w:r w:rsidR="00F373C6" w:rsidRPr="00F373C6">
        <w:t xml:space="preserve">annual </w:t>
      </w:r>
      <w:r w:rsidR="00A77487" w:rsidRPr="00F373C6">
        <w:t xml:space="preserve">groundwater </w:t>
      </w:r>
      <w:r w:rsidRPr="00F373C6">
        <w:t xml:space="preserve">production </w:t>
      </w:r>
      <w:r w:rsidR="00F373C6" w:rsidRPr="00F373C6">
        <w:t xml:space="preserve">from the Bedford Basin </w:t>
      </w:r>
      <w:r w:rsidRPr="00F373C6">
        <w:t xml:space="preserve">between 1947 </w:t>
      </w:r>
      <w:r w:rsidR="00A77487" w:rsidRPr="00F373C6">
        <w:t>and</w:t>
      </w:r>
      <w:r w:rsidRPr="00F373C6">
        <w:t xml:space="preserve"> 1977 was about </w:t>
      </w:r>
      <w:r w:rsidR="00F373C6" w:rsidRPr="00F373C6">
        <w:t xml:space="preserve">3,110 </w:t>
      </w:r>
      <w:r w:rsidRPr="00F373C6">
        <w:t>acre-ft/yr.</w:t>
      </w:r>
      <w:r w:rsidR="00D17064" w:rsidRPr="00F373C6">
        <w:t xml:space="preserve"> </w:t>
      </w:r>
      <w:r w:rsidRPr="00F373C6">
        <w:t xml:space="preserve">This period corresponds with </w:t>
      </w:r>
      <w:r w:rsidR="00AD3C28" w:rsidRPr="00F373C6">
        <w:t>the</w:t>
      </w:r>
      <w:r w:rsidRPr="00F373C6">
        <w:t xml:space="preserve"> </w:t>
      </w:r>
      <w:r w:rsidR="00C9709E" w:rsidRPr="00C9709E">
        <w:t>32</w:t>
      </w:r>
      <w:r w:rsidRPr="00F373C6">
        <w:t>-year</w:t>
      </w:r>
      <w:r w:rsidR="00A77487" w:rsidRPr="00F373C6">
        <w:t xml:space="preserve"> dry period </w:t>
      </w:r>
      <w:r w:rsidR="006D61BD">
        <w:t xml:space="preserve">from </w:t>
      </w:r>
      <w:r w:rsidR="00A77487" w:rsidRPr="00F373C6">
        <w:t xml:space="preserve">1946 </w:t>
      </w:r>
      <w:r w:rsidR="006D61BD">
        <w:t>to</w:t>
      </w:r>
      <w:r w:rsidR="00A77487" w:rsidRPr="00F373C6">
        <w:t xml:space="preserve"> 1977. </w:t>
      </w:r>
      <w:r w:rsidRPr="00F373C6">
        <w:t xml:space="preserve">Groundwater levels were lower </w:t>
      </w:r>
      <w:r w:rsidR="006B7BA5">
        <w:t>during</w:t>
      </w:r>
      <w:r w:rsidR="006B7BA5" w:rsidRPr="00F373C6">
        <w:t xml:space="preserve"> </w:t>
      </w:r>
      <w:r w:rsidR="00A77487" w:rsidRPr="00F373C6">
        <w:t>this period than in the post-</w:t>
      </w:r>
      <w:r w:rsidRPr="00F373C6">
        <w:t>197</w:t>
      </w:r>
      <w:r w:rsidR="00AD3C28" w:rsidRPr="00F373C6">
        <w:t>7</w:t>
      </w:r>
      <w:r w:rsidRPr="00F373C6">
        <w:t xml:space="preserve"> period. The higher </w:t>
      </w:r>
      <w:r w:rsidR="00A54FA5">
        <w:t xml:space="preserve">groundwater </w:t>
      </w:r>
      <w:r w:rsidRPr="00F373C6">
        <w:t>production during the 1947 through 1977 period</w:t>
      </w:r>
      <w:r w:rsidR="00AD3C28" w:rsidRPr="00F373C6">
        <w:t xml:space="preserve"> was sustained in part from irrigation return flows</w:t>
      </w:r>
      <w:r w:rsidR="006B7BA5">
        <w:t>,</w:t>
      </w:r>
      <w:r w:rsidR="00AD3C28" w:rsidRPr="00F373C6">
        <w:t xml:space="preserve"> </w:t>
      </w:r>
      <w:r w:rsidR="006B7BA5">
        <w:t>which</w:t>
      </w:r>
      <w:r w:rsidR="006B7BA5" w:rsidRPr="00F373C6">
        <w:t xml:space="preserve"> </w:t>
      </w:r>
      <w:r w:rsidR="00AD3C28" w:rsidRPr="00F373C6">
        <w:t>were greater during this period than the post</w:t>
      </w:r>
      <w:r w:rsidR="00F373C6" w:rsidRPr="00F373C6">
        <w:t>-</w:t>
      </w:r>
      <w:r w:rsidR="00AD3C28" w:rsidRPr="00F373C6">
        <w:t>1977 period</w:t>
      </w:r>
      <w:r w:rsidR="00F373C6" w:rsidRPr="00F373C6">
        <w:t>. This</w:t>
      </w:r>
      <w:r w:rsidR="00AD3C28" w:rsidRPr="00F373C6">
        <w:t xml:space="preserve"> </w:t>
      </w:r>
      <w:r w:rsidR="00F373C6" w:rsidRPr="00F373C6">
        <w:t>means</w:t>
      </w:r>
      <w:r w:rsidR="00AD3C28" w:rsidRPr="00F373C6">
        <w:t xml:space="preserve"> that the </w:t>
      </w:r>
      <w:r w:rsidR="00A54FA5">
        <w:t xml:space="preserve">groundwater </w:t>
      </w:r>
      <w:r w:rsidR="00AD3C28" w:rsidRPr="00F373C6">
        <w:t xml:space="preserve">production sustained in the 1947 through 1977 period is not characteristic of sustainable production </w:t>
      </w:r>
      <w:r w:rsidR="006B7BA5">
        <w:t xml:space="preserve">in </w:t>
      </w:r>
      <w:r w:rsidR="00F74018">
        <w:t>the Bedford Basin</w:t>
      </w:r>
      <w:r w:rsidR="006B7BA5" w:rsidRPr="006B7BA5">
        <w:t xml:space="preserve"> </w:t>
      </w:r>
      <w:r w:rsidR="006B7BA5">
        <w:t xml:space="preserve">at </w:t>
      </w:r>
      <w:r w:rsidR="00913EC8">
        <w:t xml:space="preserve">the </w:t>
      </w:r>
      <w:r w:rsidR="006B7BA5" w:rsidRPr="00F373C6">
        <w:t>present or</w:t>
      </w:r>
      <w:r w:rsidR="006B7BA5">
        <w:t xml:space="preserve"> </w:t>
      </w:r>
      <w:r w:rsidR="006B7BA5" w:rsidRPr="00F373C6">
        <w:t>in the future</w:t>
      </w:r>
      <w:r w:rsidR="00AD3C28" w:rsidRPr="00F373C6">
        <w:t>.</w:t>
      </w:r>
    </w:p>
    <w:p w14:paraId="56D1CE08" w14:textId="77777777" w:rsidR="007B33B9" w:rsidRDefault="003E1EC8">
      <w:pPr>
        <w:pStyle w:val="Heading4"/>
      </w:pPr>
      <w:bookmarkStart w:id="34" w:name="_Toc427921429"/>
      <w:r>
        <w:t>Sub-Surface Out</w:t>
      </w:r>
      <w:r w:rsidR="002C7D87">
        <w:t>flow</w:t>
      </w:r>
      <w:bookmarkEnd w:id="34"/>
    </w:p>
    <w:p w14:paraId="0435527C" w14:textId="5D04B512" w:rsidR="00C9709E" w:rsidRDefault="00C7613B" w:rsidP="001E4C64">
      <w:pPr>
        <w:spacing w:after="200" w:line="240" w:lineRule="auto"/>
        <w:rPr>
          <w:rFonts w:asciiTheme="majorHAnsi" w:hAnsiTheme="majorHAnsi"/>
        </w:rPr>
      </w:pPr>
      <w:r>
        <w:rPr>
          <w:rFonts w:asciiTheme="majorHAnsi" w:hAnsiTheme="majorHAnsi"/>
        </w:rPr>
        <w:t>Sub-surface outflow</w:t>
      </w:r>
      <w:r w:rsidR="002C7D87" w:rsidRPr="002C7D87">
        <w:rPr>
          <w:rFonts w:asciiTheme="majorHAnsi" w:hAnsiTheme="majorHAnsi"/>
        </w:rPr>
        <w:t xml:space="preserve"> from the Bedford Basin to the Temescal Basin occurs just upstream of the Flagler wells. </w:t>
      </w:r>
      <w:r w:rsidR="009F32DB">
        <w:rPr>
          <w:rFonts w:asciiTheme="majorHAnsi" w:hAnsiTheme="majorHAnsi"/>
        </w:rPr>
        <w:t>From 1945 to 1977</w:t>
      </w:r>
      <w:r w:rsidR="002C7D87" w:rsidRPr="002C7D87">
        <w:rPr>
          <w:rFonts w:asciiTheme="majorHAnsi" w:hAnsiTheme="majorHAnsi"/>
        </w:rPr>
        <w:t xml:space="preserve">, water levels at these wells have ranged from 4 feet </w:t>
      </w:r>
      <w:r w:rsidR="009F32DB">
        <w:rPr>
          <w:rFonts w:asciiTheme="majorHAnsi" w:hAnsiTheme="majorHAnsi"/>
        </w:rPr>
        <w:t xml:space="preserve">below ground surface (ft-bgs) </w:t>
      </w:r>
      <w:r w:rsidR="002C7D87" w:rsidRPr="002C7D87">
        <w:rPr>
          <w:rFonts w:asciiTheme="majorHAnsi" w:hAnsiTheme="majorHAnsi"/>
        </w:rPr>
        <w:t xml:space="preserve">to up to 70 </w:t>
      </w:r>
      <w:r w:rsidR="009F32DB">
        <w:rPr>
          <w:rFonts w:asciiTheme="majorHAnsi" w:hAnsiTheme="majorHAnsi"/>
        </w:rPr>
        <w:t>ft-bgs</w:t>
      </w:r>
      <w:r w:rsidR="002C7D87" w:rsidRPr="002C7D87">
        <w:rPr>
          <w:rFonts w:asciiTheme="majorHAnsi" w:hAnsiTheme="majorHAnsi"/>
        </w:rPr>
        <w:t xml:space="preserve">. </w:t>
      </w:r>
      <w:r w:rsidR="009F32DB">
        <w:rPr>
          <w:rFonts w:asciiTheme="majorHAnsi" w:hAnsiTheme="majorHAnsi"/>
        </w:rPr>
        <w:t xml:space="preserve">Since 1978, water levels from these wells have remained within </w:t>
      </w:r>
      <w:r w:rsidR="002C7D87" w:rsidRPr="002C7D87">
        <w:rPr>
          <w:rFonts w:asciiTheme="majorHAnsi" w:hAnsiTheme="majorHAnsi"/>
        </w:rPr>
        <w:t xml:space="preserve">10 to 20 </w:t>
      </w:r>
      <w:r w:rsidR="00913EC8">
        <w:rPr>
          <w:rFonts w:asciiTheme="majorHAnsi" w:hAnsiTheme="majorHAnsi"/>
        </w:rPr>
        <w:t>feet of the ground surface</w:t>
      </w:r>
      <w:r w:rsidR="002C7D87" w:rsidRPr="002C7D87">
        <w:rPr>
          <w:rFonts w:asciiTheme="majorHAnsi" w:hAnsiTheme="majorHAnsi"/>
        </w:rPr>
        <w:t xml:space="preserve">. These high water levels suggest groundwater may discharge to </w:t>
      </w:r>
      <w:r w:rsidR="006E6E3E">
        <w:rPr>
          <w:rFonts w:asciiTheme="majorHAnsi" w:hAnsiTheme="majorHAnsi"/>
        </w:rPr>
        <w:t xml:space="preserve">the </w:t>
      </w:r>
      <w:r w:rsidR="002C7D87" w:rsidRPr="002C7D87">
        <w:rPr>
          <w:rFonts w:asciiTheme="majorHAnsi" w:hAnsiTheme="majorHAnsi"/>
        </w:rPr>
        <w:t xml:space="preserve">Temescal Wash as surface water and/or </w:t>
      </w:r>
      <w:r>
        <w:rPr>
          <w:rFonts w:asciiTheme="majorHAnsi" w:hAnsiTheme="majorHAnsi"/>
        </w:rPr>
        <w:t>sub-surface outflow</w:t>
      </w:r>
      <w:r w:rsidR="002C7D87" w:rsidRPr="002C7D87">
        <w:rPr>
          <w:rFonts w:asciiTheme="majorHAnsi" w:hAnsiTheme="majorHAnsi"/>
        </w:rPr>
        <w:t xml:space="preserve"> through Temescal Canyon and into </w:t>
      </w:r>
      <w:r w:rsidR="006E6E3E">
        <w:rPr>
          <w:rFonts w:asciiTheme="majorHAnsi" w:hAnsiTheme="majorHAnsi"/>
        </w:rPr>
        <w:t xml:space="preserve">the </w:t>
      </w:r>
      <w:r w:rsidR="002C7D87" w:rsidRPr="002C7D87">
        <w:rPr>
          <w:rFonts w:asciiTheme="majorHAnsi" w:hAnsiTheme="majorHAnsi"/>
        </w:rPr>
        <w:t>Temescal Basin.</w:t>
      </w:r>
      <w:r w:rsidR="003F512B">
        <w:rPr>
          <w:rFonts w:asciiTheme="majorHAnsi" w:hAnsiTheme="majorHAnsi"/>
        </w:rPr>
        <w:t xml:space="preserve"> The volume of </w:t>
      </w:r>
      <w:r>
        <w:rPr>
          <w:rFonts w:asciiTheme="majorHAnsi" w:hAnsiTheme="majorHAnsi"/>
        </w:rPr>
        <w:t>sub-surface outflow</w:t>
      </w:r>
      <w:r w:rsidR="003F512B">
        <w:rPr>
          <w:rFonts w:asciiTheme="majorHAnsi" w:hAnsiTheme="majorHAnsi"/>
        </w:rPr>
        <w:t xml:space="preserve"> from </w:t>
      </w:r>
      <w:r w:rsidR="006E6E3E">
        <w:rPr>
          <w:rFonts w:asciiTheme="majorHAnsi" w:hAnsiTheme="majorHAnsi"/>
        </w:rPr>
        <w:t xml:space="preserve">the </w:t>
      </w:r>
      <w:r w:rsidR="003F512B">
        <w:rPr>
          <w:rFonts w:asciiTheme="majorHAnsi" w:hAnsiTheme="majorHAnsi"/>
        </w:rPr>
        <w:t xml:space="preserve">Bedford Basin to </w:t>
      </w:r>
      <w:r w:rsidR="006E6E3E">
        <w:rPr>
          <w:rFonts w:asciiTheme="majorHAnsi" w:hAnsiTheme="majorHAnsi"/>
        </w:rPr>
        <w:t xml:space="preserve">the </w:t>
      </w:r>
      <w:r w:rsidR="003F512B">
        <w:rPr>
          <w:rFonts w:asciiTheme="majorHAnsi" w:hAnsiTheme="majorHAnsi"/>
        </w:rPr>
        <w:t xml:space="preserve">Temescal Basin </w:t>
      </w:r>
      <w:r w:rsidR="00F72391">
        <w:rPr>
          <w:rFonts w:asciiTheme="majorHAnsi" w:hAnsiTheme="majorHAnsi"/>
        </w:rPr>
        <w:t>is likely to be small</w:t>
      </w:r>
      <w:r w:rsidR="00C9709E">
        <w:rPr>
          <w:rFonts w:asciiTheme="majorHAnsi" w:hAnsiTheme="majorHAnsi"/>
        </w:rPr>
        <w:t xml:space="preserve">. An estimate of sub-surface outflow </w:t>
      </w:r>
      <w:r w:rsidR="009B3198">
        <w:rPr>
          <w:rFonts w:asciiTheme="majorHAnsi" w:hAnsiTheme="majorHAnsi"/>
        </w:rPr>
        <w:t xml:space="preserve">from </w:t>
      </w:r>
      <w:r w:rsidR="00157DC9">
        <w:rPr>
          <w:rFonts w:asciiTheme="majorHAnsi" w:hAnsiTheme="majorHAnsi"/>
        </w:rPr>
        <w:t xml:space="preserve">the </w:t>
      </w:r>
      <w:r w:rsidR="009B3198">
        <w:rPr>
          <w:rFonts w:asciiTheme="majorHAnsi" w:hAnsiTheme="majorHAnsi"/>
        </w:rPr>
        <w:t xml:space="preserve">Bedford Basin </w:t>
      </w:r>
      <w:r w:rsidR="00C9709E">
        <w:rPr>
          <w:rFonts w:asciiTheme="majorHAnsi" w:hAnsiTheme="majorHAnsi"/>
        </w:rPr>
        <w:t xml:space="preserve">through Temescal Canyon and into the Temescal Basin </w:t>
      </w:r>
      <w:r w:rsidR="005C07A1">
        <w:rPr>
          <w:rFonts w:asciiTheme="majorHAnsi" w:hAnsiTheme="majorHAnsi"/>
        </w:rPr>
        <w:t>can be</w:t>
      </w:r>
      <w:r w:rsidR="00C9709E">
        <w:rPr>
          <w:rFonts w:asciiTheme="majorHAnsi" w:hAnsiTheme="majorHAnsi"/>
        </w:rPr>
        <w:t xml:space="preserve"> made using Darcy’s </w:t>
      </w:r>
      <w:r w:rsidR="005C07A1">
        <w:rPr>
          <w:rFonts w:asciiTheme="majorHAnsi" w:hAnsiTheme="majorHAnsi"/>
        </w:rPr>
        <w:t>l</w:t>
      </w:r>
      <w:r w:rsidR="00C9709E">
        <w:rPr>
          <w:rFonts w:asciiTheme="majorHAnsi" w:hAnsiTheme="majorHAnsi"/>
        </w:rPr>
        <w:t>aw</w:t>
      </w:r>
      <w:r w:rsidR="00157DC9">
        <w:rPr>
          <w:rFonts w:asciiTheme="majorHAnsi" w:hAnsiTheme="majorHAnsi"/>
        </w:rPr>
        <w:t>,</w:t>
      </w:r>
      <w:r w:rsidR="00C9709E">
        <w:rPr>
          <w:rFonts w:asciiTheme="majorHAnsi" w:hAnsiTheme="majorHAnsi"/>
        </w:rPr>
        <w:t xml:space="preserve"> </w:t>
      </w:r>
      <w:r w:rsidR="005C07A1">
        <w:rPr>
          <w:rFonts w:asciiTheme="majorHAnsi" w:hAnsiTheme="majorHAnsi"/>
        </w:rPr>
        <w:t>expressed as</w:t>
      </w:r>
      <w:r w:rsidR="00C9709E">
        <w:rPr>
          <w:rFonts w:asciiTheme="majorHAnsi" w:hAnsiTheme="majorHAnsi"/>
        </w:rPr>
        <w:t>:</w:t>
      </w:r>
    </w:p>
    <w:p w14:paraId="266EB496" w14:textId="36B8E0EE" w:rsidR="00C9709E" w:rsidRPr="00981028" w:rsidRDefault="00C9709E" w:rsidP="00981028">
      <w:pPr>
        <w:spacing w:after="200" w:line="240" w:lineRule="auto"/>
        <w:jc w:val="center"/>
        <w:rPr>
          <w:rFonts w:asciiTheme="majorHAnsi" w:hAnsiTheme="majorHAnsi"/>
          <w:i/>
        </w:rPr>
      </w:pPr>
      <w:r w:rsidRPr="00981028">
        <w:rPr>
          <w:rFonts w:asciiTheme="majorHAnsi" w:hAnsiTheme="majorHAnsi"/>
          <w:i/>
        </w:rPr>
        <w:t>Q = KI</w:t>
      </w:r>
      <w:r w:rsidR="00D22566" w:rsidRPr="00981028">
        <w:rPr>
          <w:rFonts w:asciiTheme="majorHAnsi" w:hAnsiTheme="majorHAnsi"/>
          <w:i/>
        </w:rPr>
        <w:t>A</w:t>
      </w:r>
    </w:p>
    <w:p w14:paraId="49D9F1F5" w14:textId="18A356E6" w:rsidR="007B33B9" w:rsidRPr="002C7D87" w:rsidRDefault="00C9709E" w:rsidP="001E4C64">
      <w:pPr>
        <w:spacing w:after="200" w:line="240" w:lineRule="auto"/>
        <w:rPr>
          <w:rFonts w:asciiTheme="majorHAnsi" w:hAnsiTheme="majorHAnsi"/>
        </w:rPr>
      </w:pPr>
      <w:r>
        <w:rPr>
          <w:rFonts w:asciiTheme="majorHAnsi" w:hAnsiTheme="majorHAnsi"/>
        </w:rPr>
        <w:t xml:space="preserve">Where K is the average hydraulic conductivity </w:t>
      </w:r>
      <w:r w:rsidR="00D22566">
        <w:rPr>
          <w:rFonts w:asciiTheme="majorHAnsi" w:hAnsiTheme="majorHAnsi"/>
        </w:rPr>
        <w:t xml:space="preserve">reported in Section </w:t>
      </w:r>
      <w:r w:rsidR="00B3702A">
        <w:rPr>
          <w:rFonts w:asciiTheme="majorHAnsi" w:hAnsiTheme="majorHAnsi"/>
        </w:rPr>
        <w:t>3.3.3</w:t>
      </w:r>
      <w:r w:rsidR="00FB0FF5">
        <w:rPr>
          <w:rFonts w:asciiTheme="majorHAnsi" w:hAnsiTheme="majorHAnsi"/>
        </w:rPr>
        <w:t xml:space="preserve"> (250 ft/day)</w:t>
      </w:r>
      <w:r w:rsidR="00D22566">
        <w:rPr>
          <w:rFonts w:asciiTheme="majorHAnsi" w:hAnsiTheme="majorHAnsi"/>
        </w:rPr>
        <w:t xml:space="preserve">, I </w:t>
      </w:r>
      <w:r w:rsidR="00981028">
        <w:rPr>
          <w:rFonts w:asciiTheme="majorHAnsi" w:hAnsiTheme="majorHAnsi"/>
        </w:rPr>
        <w:t>is</w:t>
      </w:r>
      <w:r w:rsidR="00D22566">
        <w:rPr>
          <w:rFonts w:asciiTheme="majorHAnsi" w:hAnsiTheme="majorHAnsi"/>
        </w:rPr>
        <w:t xml:space="preserve"> the hydraulic gradient </w:t>
      </w:r>
      <w:r w:rsidR="00FB0FF5">
        <w:rPr>
          <w:rFonts w:asciiTheme="majorHAnsi" w:hAnsiTheme="majorHAnsi"/>
        </w:rPr>
        <w:t>along</w:t>
      </w:r>
      <w:r w:rsidR="00D22566">
        <w:rPr>
          <w:rFonts w:asciiTheme="majorHAnsi" w:hAnsiTheme="majorHAnsi"/>
        </w:rPr>
        <w:t xml:space="preserve"> the Temescal </w:t>
      </w:r>
      <w:r w:rsidR="005C07A1">
        <w:rPr>
          <w:rFonts w:asciiTheme="majorHAnsi" w:hAnsiTheme="majorHAnsi"/>
        </w:rPr>
        <w:t>Canyon</w:t>
      </w:r>
      <w:r w:rsidR="00FB0FF5">
        <w:rPr>
          <w:rFonts w:asciiTheme="majorHAnsi" w:hAnsiTheme="majorHAnsi"/>
        </w:rPr>
        <w:t xml:space="preserve"> profile</w:t>
      </w:r>
      <w:r w:rsidR="005C07A1">
        <w:rPr>
          <w:rFonts w:asciiTheme="majorHAnsi" w:hAnsiTheme="majorHAnsi"/>
        </w:rPr>
        <w:t xml:space="preserve"> and assumed to be equal to the slope of </w:t>
      </w:r>
      <w:r w:rsidR="00D22566">
        <w:rPr>
          <w:rFonts w:asciiTheme="majorHAnsi" w:hAnsiTheme="majorHAnsi"/>
        </w:rPr>
        <w:t>the</w:t>
      </w:r>
      <w:r w:rsidR="005C07A1" w:rsidRPr="005C07A1">
        <w:rPr>
          <w:rFonts w:asciiTheme="majorHAnsi" w:hAnsiTheme="majorHAnsi"/>
        </w:rPr>
        <w:t xml:space="preserve"> </w:t>
      </w:r>
      <w:r w:rsidR="005C07A1">
        <w:rPr>
          <w:rFonts w:asciiTheme="majorHAnsi" w:hAnsiTheme="majorHAnsi"/>
        </w:rPr>
        <w:t>Temescal Wash</w:t>
      </w:r>
      <w:r w:rsidR="00D22566">
        <w:rPr>
          <w:rFonts w:asciiTheme="majorHAnsi" w:hAnsiTheme="majorHAnsi"/>
        </w:rPr>
        <w:t xml:space="preserve"> thalweg</w:t>
      </w:r>
      <w:r w:rsidR="00FB0FF5">
        <w:rPr>
          <w:rFonts w:asciiTheme="majorHAnsi" w:hAnsiTheme="majorHAnsi"/>
        </w:rPr>
        <w:t xml:space="preserve"> (0.005)</w:t>
      </w:r>
      <w:r w:rsidR="00D22566">
        <w:rPr>
          <w:rFonts w:asciiTheme="majorHAnsi" w:hAnsiTheme="majorHAnsi"/>
        </w:rPr>
        <w:t xml:space="preserve">, and A is the </w:t>
      </w:r>
      <w:r w:rsidR="005C07A1">
        <w:rPr>
          <w:rFonts w:asciiTheme="majorHAnsi" w:hAnsiTheme="majorHAnsi"/>
        </w:rPr>
        <w:t xml:space="preserve">saturated </w:t>
      </w:r>
      <w:r w:rsidR="00D22566">
        <w:rPr>
          <w:rFonts w:asciiTheme="majorHAnsi" w:hAnsiTheme="majorHAnsi"/>
        </w:rPr>
        <w:t xml:space="preserve">cross-sectional area </w:t>
      </w:r>
      <w:r w:rsidR="001D39F0">
        <w:rPr>
          <w:rFonts w:asciiTheme="majorHAnsi" w:hAnsiTheme="majorHAnsi"/>
        </w:rPr>
        <w:t xml:space="preserve">of the aquifer </w:t>
      </w:r>
      <w:r w:rsidR="00D22566">
        <w:rPr>
          <w:rFonts w:asciiTheme="majorHAnsi" w:hAnsiTheme="majorHAnsi"/>
        </w:rPr>
        <w:t xml:space="preserve">at Temescal Canyon </w:t>
      </w:r>
      <w:r w:rsidR="005C07A1">
        <w:rPr>
          <w:rFonts w:asciiTheme="majorHAnsi" w:hAnsiTheme="majorHAnsi"/>
        </w:rPr>
        <w:t xml:space="preserve">(average </w:t>
      </w:r>
      <w:r w:rsidR="00D22566">
        <w:rPr>
          <w:rFonts w:asciiTheme="majorHAnsi" w:hAnsiTheme="majorHAnsi"/>
        </w:rPr>
        <w:t xml:space="preserve">width </w:t>
      </w:r>
      <w:r w:rsidR="005C07A1">
        <w:rPr>
          <w:rFonts w:asciiTheme="majorHAnsi" w:hAnsiTheme="majorHAnsi"/>
        </w:rPr>
        <w:t xml:space="preserve">of </w:t>
      </w:r>
      <w:r w:rsidR="00B3702A">
        <w:rPr>
          <w:rFonts w:asciiTheme="majorHAnsi" w:hAnsiTheme="majorHAnsi"/>
        </w:rPr>
        <w:t>285 ft</w:t>
      </w:r>
      <w:r w:rsidR="005C07A1">
        <w:rPr>
          <w:rFonts w:asciiTheme="majorHAnsi" w:hAnsiTheme="majorHAnsi"/>
        </w:rPr>
        <w:t xml:space="preserve"> </w:t>
      </w:r>
      <w:r w:rsidR="00D22566">
        <w:rPr>
          <w:rFonts w:asciiTheme="majorHAnsi" w:hAnsiTheme="majorHAnsi"/>
        </w:rPr>
        <w:t>multiplied by the saturated thickness of the younger alluvium</w:t>
      </w:r>
      <w:r w:rsidR="00B3702A">
        <w:rPr>
          <w:rFonts w:asciiTheme="majorHAnsi" w:hAnsiTheme="majorHAnsi"/>
        </w:rPr>
        <w:t xml:space="preserve"> </w:t>
      </w:r>
      <w:r w:rsidR="005C07A1">
        <w:rPr>
          <w:rFonts w:asciiTheme="majorHAnsi" w:hAnsiTheme="majorHAnsi"/>
        </w:rPr>
        <w:t xml:space="preserve">of </w:t>
      </w:r>
      <w:r w:rsidR="00B3702A">
        <w:rPr>
          <w:rFonts w:asciiTheme="majorHAnsi" w:hAnsiTheme="majorHAnsi"/>
        </w:rPr>
        <w:t>71 ft)</w:t>
      </w:r>
      <w:r w:rsidR="00D22566">
        <w:rPr>
          <w:rFonts w:asciiTheme="majorHAnsi" w:hAnsiTheme="majorHAnsi"/>
        </w:rPr>
        <w:t>.</w:t>
      </w:r>
      <w:r w:rsidR="00613777">
        <w:rPr>
          <w:rFonts w:asciiTheme="majorHAnsi" w:hAnsiTheme="majorHAnsi"/>
        </w:rPr>
        <w:t xml:space="preserve"> </w:t>
      </w:r>
      <w:r w:rsidR="005C07A1">
        <w:rPr>
          <w:rFonts w:asciiTheme="majorHAnsi" w:hAnsiTheme="majorHAnsi"/>
        </w:rPr>
        <w:t>T</w:t>
      </w:r>
      <w:r w:rsidR="00D22566">
        <w:rPr>
          <w:rFonts w:asciiTheme="majorHAnsi" w:hAnsiTheme="majorHAnsi"/>
        </w:rPr>
        <w:t xml:space="preserve">he </w:t>
      </w:r>
      <w:r w:rsidR="00B3702A">
        <w:rPr>
          <w:rFonts w:asciiTheme="majorHAnsi" w:hAnsiTheme="majorHAnsi"/>
        </w:rPr>
        <w:t xml:space="preserve">sub-surface outflow across Temescal Canyon </w:t>
      </w:r>
      <w:r w:rsidR="005C07A1">
        <w:rPr>
          <w:rFonts w:asciiTheme="majorHAnsi" w:hAnsiTheme="majorHAnsi"/>
        </w:rPr>
        <w:t>likely</w:t>
      </w:r>
      <w:r w:rsidR="00B3702A">
        <w:rPr>
          <w:rFonts w:asciiTheme="majorHAnsi" w:hAnsiTheme="majorHAnsi"/>
        </w:rPr>
        <w:t xml:space="preserve"> </w:t>
      </w:r>
      <w:r w:rsidR="00D22566">
        <w:rPr>
          <w:rFonts w:asciiTheme="majorHAnsi" w:hAnsiTheme="majorHAnsi"/>
        </w:rPr>
        <w:t>range</w:t>
      </w:r>
      <w:r w:rsidR="005C07A1">
        <w:rPr>
          <w:rFonts w:asciiTheme="majorHAnsi" w:hAnsiTheme="majorHAnsi"/>
        </w:rPr>
        <w:t>s</w:t>
      </w:r>
      <w:r w:rsidR="00D22566">
        <w:rPr>
          <w:rFonts w:asciiTheme="majorHAnsi" w:hAnsiTheme="majorHAnsi"/>
        </w:rPr>
        <w:t xml:space="preserve"> </w:t>
      </w:r>
      <w:r w:rsidR="00B3702A">
        <w:rPr>
          <w:rFonts w:asciiTheme="majorHAnsi" w:hAnsiTheme="majorHAnsi"/>
        </w:rPr>
        <w:t>from</w:t>
      </w:r>
      <w:r w:rsidR="00D22566">
        <w:rPr>
          <w:rFonts w:asciiTheme="majorHAnsi" w:hAnsiTheme="majorHAnsi"/>
        </w:rPr>
        <w:t xml:space="preserve"> </w:t>
      </w:r>
      <w:r w:rsidR="00C94700">
        <w:rPr>
          <w:rFonts w:asciiTheme="majorHAnsi" w:hAnsiTheme="majorHAnsi"/>
        </w:rPr>
        <w:t>0</w:t>
      </w:r>
      <w:r w:rsidR="00D22566">
        <w:rPr>
          <w:rFonts w:asciiTheme="majorHAnsi" w:hAnsiTheme="majorHAnsi"/>
        </w:rPr>
        <w:t xml:space="preserve"> to </w:t>
      </w:r>
      <w:r w:rsidR="001D39F0">
        <w:rPr>
          <w:rFonts w:asciiTheme="majorHAnsi" w:hAnsiTheme="majorHAnsi"/>
        </w:rPr>
        <w:t>115</w:t>
      </w:r>
      <w:r w:rsidR="00D22566">
        <w:rPr>
          <w:rFonts w:asciiTheme="majorHAnsi" w:hAnsiTheme="majorHAnsi"/>
        </w:rPr>
        <w:t xml:space="preserve"> acre-ft/yr.</w:t>
      </w:r>
      <w:r w:rsidR="00613777">
        <w:rPr>
          <w:rFonts w:asciiTheme="majorHAnsi" w:hAnsiTheme="majorHAnsi"/>
        </w:rPr>
        <w:t xml:space="preserve"> </w:t>
      </w:r>
      <w:r w:rsidR="00CA575E" w:rsidRPr="00CA575E">
        <w:rPr>
          <w:rFonts w:asciiTheme="majorHAnsi" w:hAnsiTheme="majorHAnsi"/>
        </w:rPr>
        <w:t xml:space="preserve">The annual </w:t>
      </w:r>
      <w:r w:rsidR="00CA575E">
        <w:rPr>
          <w:rFonts w:asciiTheme="majorHAnsi" w:hAnsiTheme="majorHAnsi"/>
        </w:rPr>
        <w:t>sub-surface outflow</w:t>
      </w:r>
      <w:r w:rsidR="00CA575E" w:rsidRPr="00CA575E">
        <w:rPr>
          <w:rFonts w:asciiTheme="majorHAnsi" w:hAnsiTheme="majorHAnsi"/>
        </w:rPr>
        <w:t xml:space="preserve"> </w:t>
      </w:r>
      <w:r w:rsidR="00CA575E">
        <w:rPr>
          <w:rFonts w:asciiTheme="majorHAnsi" w:hAnsiTheme="majorHAnsi"/>
        </w:rPr>
        <w:t>will</w:t>
      </w:r>
      <w:r w:rsidR="00CA575E" w:rsidRPr="00CA575E">
        <w:rPr>
          <w:rFonts w:asciiTheme="majorHAnsi" w:hAnsiTheme="majorHAnsi"/>
        </w:rPr>
        <w:t xml:space="preserve"> be verified using a groundwater model prior to initiating the Phase 2 investigation.</w:t>
      </w:r>
    </w:p>
    <w:p w14:paraId="679DB1E5" w14:textId="529019AB" w:rsidR="00260232" w:rsidRDefault="007B33B9" w:rsidP="00260232">
      <w:pPr>
        <w:pStyle w:val="Heading4"/>
      </w:pPr>
      <w:bookmarkStart w:id="35" w:name="_Toc427921430"/>
      <w:r>
        <w:t>Evapotranspiration</w:t>
      </w:r>
      <w:bookmarkEnd w:id="35"/>
    </w:p>
    <w:p w14:paraId="7D35A1B0" w14:textId="303359C1" w:rsidR="00260232" w:rsidRPr="00260232" w:rsidRDefault="00260232" w:rsidP="00260232">
      <w:pPr>
        <w:spacing w:after="200" w:line="240" w:lineRule="auto"/>
        <w:rPr>
          <w:rFonts w:asciiTheme="majorHAnsi" w:hAnsiTheme="majorHAnsi"/>
        </w:rPr>
      </w:pPr>
      <w:r w:rsidRPr="00260232">
        <w:rPr>
          <w:rFonts w:asciiTheme="majorHAnsi" w:hAnsiTheme="majorHAnsi"/>
        </w:rPr>
        <w:t xml:space="preserve">Evapotranspiration is defined as the water lost to the atmosphere from the ground surface, evaporation from the capillary fringe of the groundwater table, and the transpiration of groundwater by plants whose roots top the capillary fringe of the groundwater table. Within the Bedford Basin, riparian vegetation is confined to the alluvial floodplain sediments along the Temescal Wash where groundwater water levels have remained persistently high. Riparian vegetation is visible in Figure 1-2, beginning upstream of the LLWD WRF. The dense riparian vegetation and high groundwater levels within the Temescal Wash indicate evapotranspiration is an active process within the Bedford Basin. As part of WEI’s on-going development of a Salt and Nutrient Management Plan for the Upper Temescal </w:t>
      </w:r>
      <w:r w:rsidR="00C9709E" w:rsidRPr="00260232">
        <w:rPr>
          <w:rFonts w:asciiTheme="majorHAnsi" w:hAnsiTheme="majorHAnsi"/>
        </w:rPr>
        <w:t>Valley</w:t>
      </w:r>
      <w:r w:rsidR="00CA575E">
        <w:rPr>
          <w:rFonts w:asciiTheme="majorHAnsi" w:hAnsiTheme="majorHAnsi"/>
        </w:rPr>
        <w:t xml:space="preserve"> (WEI, 2015)</w:t>
      </w:r>
      <w:r w:rsidR="00157DC9">
        <w:rPr>
          <w:rFonts w:asciiTheme="majorHAnsi" w:hAnsiTheme="majorHAnsi"/>
        </w:rPr>
        <w:t>,</w:t>
      </w:r>
      <w:r w:rsidR="00726E2A" w:rsidRPr="00260232">
        <w:rPr>
          <w:rFonts w:asciiTheme="majorHAnsi" w:hAnsiTheme="majorHAnsi"/>
        </w:rPr>
        <w:t xml:space="preserve"> </w:t>
      </w:r>
      <w:r w:rsidRPr="00260232">
        <w:rPr>
          <w:rFonts w:asciiTheme="majorHAnsi" w:hAnsiTheme="majorHAnsi"/>
        </w:rPr>
        <w:t xml:space="preserve">the amount of evapotranspiration occurring in the Bedford Basin is presently estimated to be about 540 acre-ft/yr. This is based on an analysis of riparian vegetation extent and density along the Temescal Wash and a vegetation consumption </w:t>
      </w:r>
      <w:r w:rsidR="00CA575E">
        <w:rPr>
          <w:rFonts w:asciiTheme="majorHAnsi" w:hAnsiTheme="majorHAnsi"/>
        </w:rPr>
        <w:t xml:space="preserve">rate </w:t>
      </w:r>
      <w:r w:rsidRPr="00260232">
        <w:rPr>
          <w:rFonts w:asciiTheme="majorHAnsi" w:hAnsiTheme="majorHAnsi"/>
        </w:rPr>
        <w:t>of 3 ft/</w:t>
      </w:r>
      <w:r w:rsidR="00726E2A">
        <w:rPr>
          <w:rFonts w:asciiTheme="majorHAnsi" w:hAnsiTheme="majorHAnsi"/>
        </w:rPr>
        <w:t>yr (</w:t>
      </w:r>
      <w:r w:rsidR="00985A0E">
        <w:rPr>
          <w:rFonts w:asciiTheme="majorHAnsi" w:hAnsiTheme="majorHAnsi"/>
        </w:rPr>
        <w:t>DWR, 1942)</w:t>
      </w:r>
      <w:r w:rsidRPr="00260232">
        <w:rPr>
          <w:rFonts w:asciiTheme="majorHAnsi" w:hAnsiTheme="majorHAnsi"/>
        </w:rPr>
        <w:t xml:space="preserve">. The annual evapotranspiration </w:t>
      </w:r>
      <w:r w:rsidR="00CA575E">
        <w:rPr>
          <w:rFonts w:asciiTheme="majorHAnsi" w:hAnsiTheme="majorHAnsi"/>
        </w:rPr>
        <w:t>will</w:t>
      </w:r>
      <w:r w:rsidR="00CA575E" w:rsidRPr="00260232">
        <w:rPr>
          <w:rFonts w:asciiTheme="majorHAnsi" w:hAnsiTheme="majorHAnsi"/>
        </w:rPr>
        <w:t xml:space="preserve"> </w:t>
      </w:r>
      <w:r w:rsidRPr="00260232">
        <w:rPr>
          <w:rFonts w:asciiTheme="majorHAnsi" w:hAnsiTheme="majorHAnsi"/>
        </w:rPr>
        <w:t>be verified using a groundwater model prior to initiating the Phase 2 investigation.</w:t>
      </w:r>
    </w:p>
    <w:p w14:paraId="75847A7D" w14:textId="77777777" w:rsidR="007B33B9" w:rsidRPr="00260232" w:rsidRDefault="007B33B9" w:rsidP="00260232">
      <w:pPr>
        <w:pStyle w:val="Heading4"/>
      </w:pPr>
      <w:bookmarkStart w:id="36" w:name="_Toc427921431"/>
      <w:r w:rsidRPr="00260232">
        <w:t>Rising Groundwater</w:t>
      </w:r>
      <w:bookmarkEnd w:id="36"/>
    </w:p>
    <w:p w14:paraId="765C0D89" w14:textId="73A0C443" w:rsidR="000413C9" w:rsidRDefault="000413C9" w:rsidP="000413C9">
      <w:pPr>
        <w:pStyle w:val="StyleBodyText12ptJustified"/>
        <w:rPr>
          <w:szCs w:val="22"/>
        </w:rPr>
      </w:pPr>
      <w:r>
        <w:rPr>
          <w:szCs w:val="22"/>
        </w:rPr>
        <w:t xml:space="preserve">Within the Bedford Basin, shallow groundwater occurs along the Temescal Wash. Groundwater and surface-water interactions along the wash have not been </w:t>
      </w:r>
      <w:r w:rsidR="00DB1679">
        <w:rPr>
          <w:szCs w:val="22"/>
        </w:rPr>
        <w:t xml:space="preserve">spatially or temporally </w:t>
      </w:r>
      <w:r>
        <w:rPr>
          <w:szCs w:val="22"/>
        </w:rPr>
        <w:t>characterized</w:t>
      </w:r>
      <w:r w:rsidR="00DB1679">
        <w:rPr>
          <w:szCs w:val="22"/>
        </w:rPr>
        <w:t>.</w:t>
      </w:r>
      <w:r w:rsidR="007B1333" w:rsidRPr="007B1333">
        <w:t xml:space="preserve"> </w:t>
      </w:r>
      <w:r w:rsidR="007B1333">
        <w:t xml:space="preserve">The </w:t>
      </w:r>
      <w:r w:rsidR="00DB1679">
        <w:t>areas and amounts</w:t>
      </w:r>
      <w:r w:rsidR="007B1333">
        <w:t xml:space="preserve"> rising groundwater </w:t>
      </w:r>
      <w:r w:rsidR="00DB1679">
        <w:t>are very important in siting wells and estimating the sustainable yield of the</w:t>
      </w:r>
      <w:r w:rsidR="007B1333">
        <w:t xml:space="preserve"> Bedford Basin</w:t>
      </w:r>
      <w:r w:rsidR="00DB1679">
        <w:t>. The areas and amounts rising groundwater should be located and quantified, respectively</w:t>
      </w:r>
      <w:r w:rsidR="00157DC9">
        <w:t>,</w:t>
      </w:r>
      <w:r w:rsidR="00DB1679">
        <w:t xml:space="preserve"> prior to initiating the</w:t>
      </w:r>
      <w:r w:rsidR="007B1333">
        <w:t xml:space="preserve"> Phase 2 investigation.</w:t>
      </w:r>
      <w:r w:rsidR="00DB1679">
        <w:t xml:space="preserve"> </w:t>
      </w:r>
      <w:r w:rsidR="00DB1679" w:rsidRPr="00D70A23">
        <w:t>This will require field work and modeling.</w:t>
      </w:r>
    </w:p>
    <w:p w14:paraId="7E468B1D" w14:textId="77777777" w:rsidR="00703106" w:rsidRDefault="00703106" w:rsidP="00171A78">
      <w:pPr>
        <w:pStyle w:val="Heading3"/>
      </w:pPr>
      <w:bookmarkStart w:id="37" w:name="_Toc427921432"/>
      <w:r>
        <w:t>G</w:t>
      </w:r>
      <w:r w:rsidR="00A5038D">
        <w:t>roundwater Storag</w:t>
      </w:r>
      <w:r w:rsidR="004E4CAA">
        <w:t>e</w:t>
      </w:r>
      <w:bookmarkEnd w:id="37"/>
    </w:p>
    <w:p w14:paraId="7353C9CC" w14:textId="77777777" w:rsidR="00777C62" w:rsidRDefault="00CE6F55" w:rsidP="00D75382">
      <w:pPr>
        <w:pStyle w:val="StyleBodyText12ptJustified"/>
      </w:pPr>
      <w:r w:rsidRPr="00CE6F55">
        <w:t xml:space="preserve">As described above, the </w:t>
      </w:r>
      <w:r w:rsidR="00943C09">
        <w:t>primary producing</w:t>
      </w:r>
      <w:r w:rsidRPr="00CE6F55">
        <w:t xml:space="preserve"> aquifer within the Bedford Basin is restricted to a shallow and narrow band of saturated alluvial sediments underlying the Temescal Wash. </w:t>
      </w:r>
      <w:r w:rsidRPr="004D0D25">
        <w:t>Figure</w:t>
      </w:r>
      <w:r w:rsidR="00062862" w:rsidRPr="004D0D25">
        <w:t>s</w:t>
      </w:r>
      <w:r w:rsidRPr="004D0D25">
        <w:t xml:space="preserve"> 3-3a, 3-3b, 3-3c, and 3-3d </w:t>
      </w:r>
      <w:r w:rsidR="00062862" w:rsidRPr="004D0D25">
        <w:t>characterize</w:t>
      </w:r>
      <w:r w:rsidRPr="00CE6F55">
        <w:t xml:space="preserve"> the primary producing alluvial aquifer located </w:t>
      </w:r>
      <w:r w:rsidR="00943C09">
        <w:t>within</w:t>
      </w:r>
      <w:r w:rsidRPr="00CE6F55">
        <w:t xml:space="preserve"> the Temescal Wash. The saturated aquifer thickness and </w:t>
      </w:r>
      <w:r w:rsidR="00943C09">
        <w:t>groundwater storage</w:t>
      </w:r>
      <w:r w:rsidRPr="00CE6F55">
        <w:t xml:space="preserve"> may be calculated from the difference between groundwater elevations and the </w:t>
      </w:r>
      <w:r w:rsidR="00062862">
        <w:t xml:space="preserve">effective </w:t>
      </w:r>
      <w:r w:rsidR="00CF58F7">
        <w:t xml:space="preserve">base of the aquifer. </w:t>
      </w:r>
    </w:p>
    <w:p w14:paraId="70719775" w14:textId="1BFBD6F8" w:rsidR="00703106" w:rsidRDefault="00777C62" w:rsidP="00D75382">
      <w:pPr>
        <w:pStyle w:val="StyleBodyText12ptJustified"/>
      </w:pPr>
      <w:r>
        <w:t>Groundwater storage was computed for years 1949 and 2012</w:t>
      </w:r>
      <w:r w:rsidRPr="002D7097">
        <w:t>. Figure 3-</w:t>
      </w:r>
      <w:r w:rsidR="002D7097" w:rsidRPr="002D7097">
        <w:t>4</w:t>
      </w:r>
      <w:r>
        <w:t xml:space="preserve"> illustrates groundwater levels in 1949 were the lowest recorded water levels in </w:t>
      </w:r>
      <w:r w:rsidR="00B84970">
        <w:t xml:space="preserve">the </w:t>
      </w:r>
      <w:r>
        <w:t>Bedford Basin</w:t>
      </w:r>
      <w:r w:rsidR="00157DC9">
        <w:t xml:space="preserve">; </w:t>
      </w:r>
      <w:r>
        <w:t xml:space="preserve">whereas in 2012, water levels represent </w:t>
      </w:r>
      <w:r w:rsidR="00A037E5">
        <w:t>high water levels</w:t>
      </w:r>
      <w:r w:rsidR="00B84970">
        <w:t xml:space="preserve"> in the basin</w:t>
      </w:r>
      <w:r w:rsidR="00A037E5">
        <w:t>.</w:t>
      </w:r>
      <w:r>
        <w:t xml:space="preserve"> </w:t>
      </w:r>
      <w:r w:rsidR="00CE6F55" w:rsidRPr="00CE6F55">
        <w:t xml:space="preserve">The method </w:t>
      </w:r>
      <w:r w:rsidR="00943C09">
        <w:t xml:space="preserve">used </w:t>
      </w:r>
      <w:r w:rsidR="00CE6F55" w:rsidRPr="00CE6F55">
        <w:t xml:space="preserve">for computing storage </w:t>
      </w:r>
      <w:r w:rsidR="00943C09">
        <w:t xml:space="preserve">in Bedford Basin </w:t>
      </w:r>
      <w:r w:rsidR="00CE6F55" w:rsidRPr="00CE6F55">
        <w:t xml:space="preserve">is described </w:t>
      </w:r>
      <w:r w:rsidR="00157DC9">
        <w:t>below.</w:t>
      </w:r>
    </w:p>
    <w:p w14:paraId="50CC698D" w14:textId="289ACA9E" w:rsidR="00B37495" w:rsidRDefault="00CE6F55" w:rsidP="00D75382">
      <w:pPr>
        <w:pStyle w:val="StyleBodyText12ptJustified"/>
      </w:pPr>
      <w:r>
        <w:t xml:space="preserve">The data used to estimate groundwater storage for </w:t>
      </w:r>
      <w:r w:rsidR="00777C62">
        <w:t xml:space="preserve">1949 and </w:t>
      </w:r>
      <w:r>
        <w:t>201</w:t>
      </w:r>
      <w:r w:rsidR="00FF7096">
        <w:t>2</w:t>
      </w:r>
      <w:r>
        <w:t xml:space="preserve"> included the bottom of </w:t>
      </w:r>
      <w:r w:rsidRPr="004D0D25">
        <w:t xml:space="preserve">aquifer map shown </w:t>
      </w:r>
      <w:r w:rsidR="00157DC9">
        <w:t>(</w:t>
      </w:r>
      <w:r w:rsidRPr="004D0D25">
        <w:t>Figure 3-2</w:t>
      </w:r>
      <w:r w:rsidR="00157DC9">
        <w:t>)</w:t>
      </w:r>
      <w:r w:rsidRPr="004D0D25">
        <w:t xml:space="preserve">, the </w:t>
      </w:r>
      <w:r w:rsidR="00777C62" w:rsidRPr="004D0D25">
        <w:t xml:space="preserve">1949 and </w:t>
      </w:r>
      <w:r w:rsidR="00062862" w:rsidRPr="004D0D25">
        <w:t>2012 groundwater elevation map</w:t>
      </w:r>
      <w:r w:rsidR="00777C62" w:rsidRPr="004D0D25">
        <w:t>s</w:t>
      </w:r>
      <w:r w:rsidR="00062862" w:rsidRPr="004D0D25">
        <w:t xml:space="preserve"> </w:t>
      </w:r>
      <w:r w:rsidR="00157DC9">
        <w:t>(</w:t>
      </w:r>
      <w:r w:rsidR="00062862" w:rsidRPr="004D0D25">
        <w:t>Figure</w:t>
      </w:r>
      <w:r w:rsidR="00777C62" w:rsidRPr="004D0D25">
        <w:t>s 3-5 and</w:t>
      </w:r>
      <w:r w:rsidR="00062862" w:rsidRPr="004D0D25">
        <w:t xml:space="preserve"> 3-</w:t>
      </w:r>
      <w:r w:rsidR="005101C9" w:rsidRPr="004D0D25">
        <w:t>6</w:t>
      </w:r>
      <w:r w:rsidR="00157DC9">
        <w:t>)</w:t>
      </w:r>
      <w:r w:rsidR="00062862" w:rsidRPr="004D0D25">
        <w:t>, and</w:t>
      </w:r>
      <w:r w:rsidR="00943C09">
        <w:t xml:space="preserve"> </w:t>
      </w:r>
      <w:r w:rsidR="00943277">
        <w:t xml:space="preserve">a </w:t>
      </w:r>
      <w:r w:rsidR="00CF58F7">
        <w:t>specific yield</w:t>
      </w:r>
      <w:r w:rsidR="00943277">
        <w:t xml:space="preserve"> estimate of </w:t>
      </w:r>
      <w:r w:rsidR="00CF58F7">
        <w:t>0.2</w:t>
      </w:r>
      <w:r w:rsidR="00B904E2">
        <w:t>0</w:t>
      </w:r>
      <w:r w:rsidR="00CF58F7">
        <w:t xml:space="preserve"> for sediments within the primary producing </w:t>
      </w:r>
      <w:r w:rsidR="004D0B7D">
        <w:t xml:space="preserve">alluvial </w:t>
      </w:r>
      <w:r w:rsidR="00CF58F7">
        <w:t>aquifer. The specific yield estimate</w:t>
      </w:r>
      <w:r w:rsidR="00943C09">
        <w:t xml:space="preserve"> </w:t>
      </w:r>
      <w:r w:rsidR="00943277">
        <w:t>is</w:t>
      </w:r>
      <w:r w:rsidR="00CF58F7">
        <w:t xml:space="preserve"> based </w:t>
      </w:r>
      <w:r w:rsidR="00062862">
        <w:t xml:space="preserve">on </w:t>
      </w:r>
      <w:r w:rsidR="007D3E8D">
        <w:t>the</w:t>
      </w:r>
      <w:r w:rsidR="00062862">
        <w:t xml:space="preserve"> </w:t>
      </w:r>
      <w:r w:rsidR="00FF7096">
        <w:t xml:space="preserve">Bedford Basin </w:t>
      </w:r>
      <w:r w:rsidR="00062862">
        <w:t xml:space="preserve">surficial geology </w:t>
      </w:r>
      <w:r w:rsidR="00FF7096">
        <w:t xml:space="preserve">and data published in </w:t>
      </w:r>
      <w:r w:rsidR="00062862" w:rsidRPr="00FF7096">
        <w:t>Johnson (1967).</w:t>
      </w:r>
      <w:r w:rsidR="00FF7096">
        <w:t xml:space="preserve"> Within ArcGIS, the effective base of the aquifer, groundwater-level elevation, and specific yield were assigned to each cell based on a 200 x 200 foot grid </w:t>
      </w:r>
      <w:r w:rsidR="00943C09">
        <w:t xml:space="preserve">extended </w:t>
      </w:r>
      <w:r w:rsidR="00FF7096">
        <w:t xml:space="preserve">across the primary </w:t>
      </w:r>
      <w:r w:rsidR="00943C09">
        <w:t xml:space="preserve">producing </w:t>
      </w:r>
      <w:r w:rsidR="004D0B7D">
        <w:t xml:space="preserve">alluvial </w:t>
      </w:r>
      <w:r w:rsidR="00FF7096">
        <w:t xml:space="preserve">aquifer </w:t>
      </w:r>
      <w:r w:rsidR="00943C09">
        <w:t>se</w:t>
      </w:r>
      <w:r w:rsidR="00EB1095">
        <w:t>diments only (Quaternary young alluvial-fan and valley deposits</w:t>
      </w:r>
      <w:r w:rsidR="00943C09">
        <w:t>)</w:t>
      </w:r>
      <w:r w:rsidR="00FF7096">
        <w:t>.</w:t>
      </w:r>
    </w:p>
    <w:p w14:paraId="0370CFE4" w14:textId="547A244C" w:rsidR="00171A78" w:rsidRPr="009F688E" w:rsidRDefault="00B84970" w:rsidP="00171A78">
      <w:pPr>
        <w:pStyle w:val="StyleBodyText12ptJustified"/>
      </w:pPr>
      <w:r>
        <w:t>The t</w:t>
      </w:r>
      <w:r w:rsidR="00A037E5">
        <w:t xml:space="preserve">otal storage in the Bedford Basin </w:t>
      </w:r>
      <w:r>
        <w:t>was approximately</w:t>
      </w:r>
      <w:r w:rsidR="00A037E5">
        <w:t xml:space="preserve"> </w:t>
      </w:r>
      <w:r>
        <w:t>12,160</w:t>
      </w:r>
      <w:r w:rsidR="00A037E5">
        <w:t xml:space="preserve"> acre-ft in 1949 </w:t>
      </w:r>
      <w:r>
        <w:t>and approximately 18,650 in 2012</w:t>
      </w:r>
      <w:r w:rsidR="00D4179C">
        <w:t>.</w:t>
      </w:r>
      <w:r w:rsidR="00B502DC">
        <w:t xml:space="preserve"> </w:t>
      </w:r>
      <w:r w:rsidR="00171A78">
        <w:t xml:space="preserve">These storage values represent the basin’s storage under historic and near-current conditions. The maximum storage capacity of the Bedford Basin’s aquifer </w:t>
      </w:r>
      <w:r w:rsidR="005C07A1">
        <w:t xml:space="preserve">was </w:t>
      </w:r>
      <w:r w:rsidR="00171A78">
        <w:t xml:space="preserve">not determined </w:t>
      </w:r>
      <w:r w:rsidR="005C07A1">
        <w:t>in the Phase 1 work</w:t>
      </w:r>
      <w:r w:rsidR="00171A78">
        <w:t xml:space="preserve">. Review of the groundwater level data in </w:t>
      </w:r>
      <w:r w:rsidR="00171A78" w:rsidRPr="002D7097">
        <w:t>Figure 3-4</w:t>
      </w:r>
      <w:r w:rsidR="00171A78">
        <w:t xml:space="preserve"> suggests that the </w:t>
      </w:r>
      <w:r w:rsidR="005C07A1">
        <w:t xml:space="preserve">historical </w:t>
      </w:r>
      <w:r w:rsidR="00171A78">
        <w:t xml:space="preserve">maximum storage </w:t>
      </w:r>
      <w:r w:rsidR="005C07A1">
        <w:t xml:space="preserve">may have been </w:t>
      </w:r>
      <w:r w:rsidR="00171A78">
        <w:t xml:space="preserve">reached in 1978 </w:t>
      </w:r>
      <w:r w:rsidR="00FB0FF5">
        <w:t>or</w:t>
      </w:r>
      <w:r w:rsidR="00171A78">
        <w:t xml:space="preserve"> 1993. The maximum storage capacity should be quantified prior to initiating the Phase 2 investigation. </w:t>
      </w:r>
    </w:p>
    <w:p w14:paraId="292A9BDD" w14:textId="4F031E5E" w:rsidR="00E35CB7" w:rsidRDefault="001121F7" w:rsidP="00260232">
      <w:pPr>
        <w:pStyle w:val="Heading3"/>
      </w:pPr>
      <w:bookmarkStart w:id="38" w:name="_Toc427921433"/>
      <w:commentRangeStart w:id="39"/>
      <w:r>
        <w:t xml:space="preserve">Historical </w:t>
      </w:r>
      <w:r w:rsidR="00E35CB7">
        <w:t>Production</w:t>
      </w:r>
      <w:r>
        <w:t xml:space="preserve"> Related to Storage, Climate, and Irrigation Return Flows</w:t>
      </w:r>
      <w:bookmarkEnd w:id="38"/>
      <w:commentRangeEnd w:id="39"/>
      <w:r w:rsidR="00B76A87">
        <w:rPr>
          <w:rStyle w:val="CommentReference"/>
          <w:rFonts w:ascii="Times New Roman" w:hAnsi="Times New Roman"/>
          <w:color w:val="auto"/>
        </w:rPr>
        <w:commentReference w:id="39"/>
      </w:r>
    </w:p>
    <w:p w14:paraId="20EA47A8" w14:textId="555BD6F4" w:rsidR="00D4179C" w:rsidRDefault="00D4179C" w:rsidP="00D75382">
      <w:pPr>
        <w:pStyle w:val="StyleBodyText12ptJustified"/>
      </w:pPr>
      <w:r>
        <w:t>With these time-specific storages</w:t>
      </w:r>
      <w:r w:rsidR="00981028">
        <w:t>,</w:t>
      </w:r>
      <w:r>
        <w:t xml:space="preserve"> review of Figure 3-7 </w:t>
      </w:r>
      <w:r w:rsidR="001121F7">
        <w:t>and Table 3-2 reveals</w:t>
      </w:r>
      <w:r>
        <w:t xml:space="preserve"> the following:</w:t>
      </w:r>
    </w:p>
    <w:p w14:paraId="7754E7E4" w14:textId="39C1E702" w:rsidR="00171A78" w:rsidRDefault="00171A78" w:rsidP="00976EEB">
      <w:pPr>
        <w:pStyle w:val="StyleBodyText12ptJustified"/>
        <w:numPr>
          <w:ilvl w:val="0"/>
          <w:numId w:val="38"/>
        </w:numPr>
        <w:jc w:val="left"/>
      </w:pPr>
      <w:r w:rsidRPr="009B3198">
        <w:rPr>
          <w:b/>
        </w:rPr>
        <w:t>1949 through 1964</w:t>
      </w:r>
      <w:r w:rsidR="00981028">
        <w:t xml:space="preserve"> is characterized as a </w:t>
      </w:r>
      <w:r>
        <w:t>dr</w:t>
      </w:r>
      <w:r w:rsidR="00D4179C">
        <w:t xml:space="preserve">y period, </w:t>
      </w:r>
      <w:r w:rsidR="00976EEB">
        <w:t xml:space="preserve">groundwater </w:t>
      </w:r>
      <w:r w:rsidR="00D4179C">
        <w:t xml:space="preserve">storage </w:t>
      </w:r>
      <w:r w:rsidR="00976EEB">
        <w:t xml:space="preserve">was </w:t>
      </w:r>
      <w:r w:rsidR="00D4179C">
        <w:t>about 12,000</w:t>
      </w:r>
      <w:r>
        <w:t xml:space="preserve"> acre-ft, </w:t>
      </w:r>
      <w:r w:rsidR="00E35CB7">
        <w:t xml:space="preserve">irrigation return flows </w:t>
      </w:r>
      <w:r w:rsidR="00976EEB">
        <w:t xml:space="preserve">were </w:t>
      </w:r>
      <w:r w:rsidR="001121F7">
        <w:t>abo</w:t>
      </w:r>
      <w:r w:rsidR="001121F7" w:rsidRPr="009B3198">
        <w:t xml:space="preserve">ut </w:t>
      </w:r>
      <w:r w:rsidR="009B3198" w:rsidRPr="009B3198">
        <w:t>5</w:t>
      </w:r>
      <w:r w:rsidR="001121F7" w:rsidRPr="009B3198">
        <w:t>,</w:t>
      </w:r>
      <w:r w:rsidR="009B3198" w:rsidRPr="009B3198">
        <w:t>3</w:t>
      </w:r>
      <w:r w:rsidR="009B3198">
        <w:t>0</w:t>
      </w:r>
      <w:r w:rsidR="009B3198" w:rsidRPr="009B3198">
        <w:t xml:space="preserve">0 </w:t>
      </w:r>
      <w:r w:rsidR="001121F7" w:rsidRPr="009B3198">
        <w:t>acre-ft/yr,</w:t>
      </w:r>
      <w:r w:rsidR="00E35CB7" w:rsidRPr="009B3198">
        <w:t xml:space="preserve"> </w:t>
      </w:r>
      <w:r w:rsidR="00976EEB" w:rsidRPr="009B3198">
        <w:t xml:space="preserve">and </w:t>
      </w:r>
      <w:r w:rsidRPr="009B3198">
        <w:t xml:space="preserve">groundwater production </w:t>
      </w:r>
      <w:r w:rsidR="00976EEB" w:rsidRPr="009B3198">
        <w:t xml:space="preserve">was </w:t>
      </w:r>
      <w:r w:rsidRPr="009B3198">
        <w:t>about 2,</w:t>
      </w:r>
      <w:r w:rsidR="009B3198" w:rsidRPr="009B3198">
        <w:t xml:space="preserve">900 </w:t>
      </w:r>
      <w:r w:rsidRPr="009B3198">
        <w:t>acre-ft</w:t>
      </w:r>
      <w:r>
        <w:t>/yr</w:t>
      </w:r>
      <w:r w:rsidR="00976EEB">
        <w:t>.</w:t>
      </w:r>
    </w:p>
    <w:p w14:paraId="443E6940" w14:textId="05CCCFF0" w:rsidR="00171A78" w:rsidRDefault="00171A78" w:rsidP="00976EEB">
      <w:pPr>
        <w:pStyle w:val="StyleBodyText12ptJustified"/>
        <w:numPr>
          <w:ilvl w:val="0"/>
          <w:numId w:val="38"/>
        </w:numPr>
        <w:jc w:val="left"/>
      </w:pPr>
      <w:r w:rsidRPr="009B3198">
        <w:rPr>
          <w:b/>
        </w:rPr>
        <w:t>1965 through 1977</w:t>
      </w:r>
      <w:r w:rsidR="00976EEB">
        <w:t xml:space="preserve"> is characterized as a </w:t>
      </w:r>
      <w:r>
        <w:t xml:space="preserve">dry period, </w:t>
      </w:r>
      <w:r w:rsidR="00976EEB">
        <w:t xml:space="preserve">groundwater </w:t>
      </w:r>
      <w:r>
        <w:t xml:space="preserve">storage </w:t>
      </w:r>
      <w:r w:rsidR="00DF7E55">
        <w:t xml:space="preserve">was </w:t>
      </w:r>
      <w:r w:rsidR="00E35CB7">
        <w:t xml:space="preserve">about </w:t>
      </w:r>
      <w:r w:rsidRPr="009B3198">
        <w:t>15,000</w:t>
      </w:r>
      <w:r w:rsidR="00E35CB7" w:rsidRPr="0030615E">
        <w:t xml:space="preserve"> </w:t>
      </w:r>
      <w:r w:rsidRPr="0030615E">
        <w:t>acre</w:t>
      </w:r>
      <w:r w:rsidR="00E35CB7" w:rsidRPr="0030615E">
        <w:t>-ft,</w:t>
      </w:r>
      <w:r w:rsidR="001121F7" w:rsidRPr="001121F7">
        <w:t xml:space="preserve"> </w:t>
      </w:r>
      <w:r w:rsidR="001121F7">
        <w:t xml:space="preserve">irrigation return flows </w:t>
      </w:r>
      <w:r w:rsidR="00976EEB">
        <w:t xml:space="preserve">were </w:t>
      </w:r>
      <w:r w:rsidR="001121F7">
        <w:t>ab</w:t>
      </w:r>
      <w:r w:rsidR="001121F7" w:rsidRPr="009B3198">
        <w:t>out 8,</w:t>
      </w:r>
      <w:r w:rsidR="009B3198" w:rsidRPr="009B3198">
        <w:t xml:space="preserve">400 </w:t>
      </w:r>
      <w:r w:rsidR="001121F7" w:rsidRPr="009B3198">
        <w:t>acre-ft/yr,</w:t>
      </w:r>
      <w:r w:rsidR="00E35CB7" w:rsidRPr="009B3198">
        <w:t xml:space="preserve"> </w:t>
      </w:r>
      <w:r w:rsidR="00976EEB" w:rsidRPr="009B3198">
        <w:t xml:space="preserve">and </w:t>
      </w:r>
      <w:r w:rsidR="00E35CB7" w:rsidRPr="0030615E">
        <w:t xml:space="preserve">groundwater production </w:t>
      </w:r>
      <w:r w:rsidR="00DF7E55">
        <w:t xml:space="preserve">was </w:t>
      </w:r>
      <w:r w:rsidRPr="0030615E">
        <w:t>about 3,</w:t>
      </w:r>
      <w:r w:rsidR="009B3198" w:rsidRPr="009B3198">
        <w:t xml:space="preserve">350 </w:t>
      </w:r>
      <w:r w:rsidRPr="009B3198">
        <w:t>acre</w:t>
      </w:r>
      <w:r>
        <w:t>-ft/yr</w:t>
      </w:r>
      <w:r w:rsidR="00976EEB">
        <w:t>.</w:t>
      </w:r>
    </w:p>
    <w:p w14:paraId="19BB1BBA" w14:textId="3F523A63" w:rsidR="00171A78" w:rsidRDefault="00171A78" w:rsidP="00976EEB">
      <w:pPr>
        <w:pStyle w:val="StyleBodyText12ptJustified"/>
        <w:numPr>
          <w:ilvl w:val="0"/>
          <w:numId w:val="38"/>
        </w:numPr>
        <w:jc w:val="left"/>
      </w:pPr>
      <w:r w:rsidRPr="009B3198">
        <w:rPr>
          <w:b/>
        </w:rPr>
        <w:t>1978 through 2002</w:t>
      </w:r>
      <w:r w:rsidR="00976EEB">
        <w:t xml:space="preserve"> is </w:t>
      </w:r>
      <w:r>
        <w:t xml:space="preserve">mostly </w:t>
      </w:r>
      <w:r w:rsidR="00976EEB">
        <w:t xml:space="preserve">characterized as </w:t>
      </w:r>
      <w:r>
        <w:t xml:space="preserve">a wet period, </w:t>
      </w:r>
      <w:r w:rsidR="00976EEB">
        <w:t xml:space="preserve">groundwater </w:t>
      </w:r>
      <w:r>
        <w:t xml:space="preserve">storage </w:t>
      </w:r>
      <w:r w:rsidR="00976EEB">
        <w:t xml:space="preserve">was likely </w:t>
      </w:r>
      <w:r>
        <w:t xml:space="preserve">greater than 18,200 acre-ft, </w:t>
      </w:r>
      <w:r w:rsidR="001121F7">
        <w:t xml:space="preserve">irrigation return flows </w:t>
      </w:r>
      <w:r w:rsidR="00976EEB">
        <w:t xml:space="preserve">were </w:t>
      </w:r>
      <w:r w:rsidR="001121F7">
        <w:t xml:space="preserve">about </w:t>
      </w:r>
      <w:r w:rsidR="001121F7" w:rsidRPr="009B3198">
        <w:t>4,600 acre-ft/yr,</w:t>
      </w:r>
      <w:r w:rsidR="001121F7">
        <w:t xml:space="preserve"> </w:t>
      </w:r>
      <w:r w:rsidR="00976EEB">
        <w:t xml:space="preserve">recycled water discharge was about </w:t>
      </w:r>
      <w:r w:rsidR="0030615E">
        <w:t>3,400</w:t>
      </w:r>
      <w:r w:rsidR="00976EEB">
        <w:t xml:space="preserve"> acre-ft/yr</w:t>
      </w:r>
      <w:r w:rsidR="00DF7E55">
        <w:t>,</w:t>
      </w:r>
      <w:r w:rsidR="0030615E">
        <w:rPr>
          <w:rStyle w:val="FootnoteReference"/>
        </w:rPr>
        <w:footnoteReference w:id="14"/>
      </w:r>
      <w:r w:rsidR="00976EEB">
        <w:t xml:space="preserve"> and </w:t>
      </w:r>
      <w:r>
        <w:t xml:space="preserve">groundwater production about </w:t>
      </w:r>
      <w:r w:rsidRPr="009B3198">
        <w:t>2,000 acre-ft/yr</w:t>
      </w:r>
      <w:r w:rsidR="00976EEB" w:rsidRPr="009B3198">
        <w:t>.</w:t>
      </w:r>
    </w:p>
    <w:p w14:paraId="1363C81E" w14:textId="1EBC7EB5" w:rsidR="00171A78" w:rsidRDefault="00171A78" w:rsidP="00976EEB">
      <w:pPr>
        <w:pStyle w:val="StyleBodyText12ptJustified"/>
        <w:numPr>
          <w:ilvl w:val="0"/>
          <w:numId w:val="38"/>
        </w:numPr>
        <w:jc w:val="left"/>
      </w:pPr>
      <w:r w:rsidRPr="009B3198">
        <w:rPr>
          <w:b/>
        </w:rPr>
        <w:t>2003 through 2013</w:t>
      </w:r>
      <w:r w:rsidR="00FC5E72">
        <w:t xml:space="preserve"> is</w:t>
      </w:r>
      <w:r w:rsidR="00976EEB">
        <w:t xml:space="preserve"> characterized as a </w:t>
      </w:r>
      <w:r>
        <w:t xml:space="preserve">dry period, </w:t>
      </w:r>
      <w:r w:rsidR="00976EEB">
        <w:t xml:space="preserve">groundwater </w:t>
      </w:r>
      <w:r>
        <w:t xml:space="preserve">storage </w:t>
      </w:r>
      <w:r w:rsidR="00976EEB">
        <w:t xml:space="preserve">was </w:t>
      </w:r>
      <w:r>
        <w:t xml:space="preserve">about 18,200 acre-ft, groundwater </w:t>
      </w:r>
      <w:r w:rsidR="001121F7">
        <w:t xml:space="preserve">irrigation return flows </w:t>
      </w:r>
      <w:r w:rsidR="00976EEB">
        <w:t xml:space="preserve">were </w:t>
      </w:r>
      <w:r w:rsidR="001121F7">
        <w:t xml:space="preserve">about </w:t>
      </w:r>
      <w:r w:rsidR="001121F7" w:rsidRPr="009B3198">
        <w:t>2,500 acre-ft/yr,</w:t>
      </w:r>
      <w:r w:rsidR="001121F7">
        <w:t xml:space="preserve"> </w:t>
      </w:r>
      <w:r w:rsidR="00976EEB">
        <w:t xml:space="preserve">recycled water discharge was about </w:t>
      </w:r>
      <w:r w:rsidR="0030615E">
        <w:t>1</w:t>
      </w:r>
      <w:r w:rsidR="00FE3806">
        <w:t>1</w:t>
      </w:r>
      <w:r w:rsidR="0030615E">
        <w:t>,</w:t>
      </w:r>
      <w:r w:rsidR="00FE3806">
        <w:t>2</w:t>
      </w:r>
      <w:r w:rsidR="0030615E">
        <w:t xml:space="preserve">00 </w:t>
      </w:r>
      <w:r w:rsidR="00976EEB">
        <w:t xml:space="preserve">acre-ft/yr, and groundwater </w:t>
      </w:r>
      <w:r>
        <w:t xml:space="preserve">production </w:t>
      </w:r>
      <w:r w:rsidR="00DF7E55">
        <w:t xml:space="preserve">was </w:t>
      </w:r>
      <w:r>
        <w:t xml:space="preserve">about </w:t>
      </w:r>
      <w:r w:rsidR="009B3198" w:rsidRPr="009B3198">
        <w:t>700</w:t>
      </w:r>
      <w:r w:rsidR="009B3198">
        <w:t xml:space="preserve"> </w:t>
      </w:r>
      <w:r>
        <w:t>acre-ft/yr</w:t>
      </w:r>
      <w:r w:rsidR="00976EEB">
        <w:t>.</w:t>
      </w:r>
    </w:p>
    <w:p w14:paraId="6A3ABC78" w14:textId="240325BF" w:rsidR="00E35CB7" w:rsidRDefault="00976EEB" w:rsidP="00E35CB7">
      <w:pPr>
        <w:pStyle w:val="StyleBodyText12ptJustified"/>
      </w:pPr>
      <w:r>
        <w:t xml:space="preserve">Based on the </w:t>
      </w:r>
      <w:r w:rsidR="00E35CB7">
        <w:t xml:space="preserve">review of all data collected </w:t>
      </w:r>
      <w:r>
        <w:t xml:space="preserve">and summarized as part of </w:t>
      </w:r>
      <w:r w:rsidR="00E35CB7">
        <w:t xml:space="preserve">the Phase 1 </w:t>
      </w:r>
      <w:r>
        <w:t xml:space="preserve">investigation, </w:t>
      </w:r>
      <w:r w:rsidR="001121F7">
        <w:t>the following preliminary conclusions can be made:</w:t>
      </w:r>
    </w:p>
    <w:p w14:paraId="2ECBF9B6" w14:textId="5154BA55" w:rsidR="00E746EB" w:rsidRDefault="00302363" w:rsidP="00CA575E">
      <w:pPr>
        <w:pStyle w:val="StyleBodyText12ptJustified"/>
        <w:numPr>
          <w:ilvl w:val="0"/>
          <w:numId w:val="39"/>
        </w:numPr>
      </w:pPr>
      <w:r>
        <w:t xml:space="preserve">Storage </w:t>
      </w:r>
      <w:r w:rsidR="001121F7">
        <w:t xml:space="preserve">in the basin has fluctuated </w:t>
      </w:r>
      <w:r>
        <w:t xml:space="preserve">by </w:t>
      </w:r>
      <w:r w:rsidR="001121F7">
        <w:t>about 6,500 acre-ft</w:t>
      </w:r>
      <w:r w:rsidR="008D6EAD">
        <w:t xml:space="preserve"> or 35</w:t>
      </w:r>
      <w:r w:rsidR="00CA575E">
        <w:t>-</w:t>
      </w:r>
      <w:r w:rsidR="008D6EAD">
        <w:t>percent of 2012 storage</w:t>
      </w:r>
      <w:r w:rsidR="00CA575E">
        <w:t xml:space="preserve"> conditions</w:t>
      </w:r>
      <w:r w:rsidR="001121F7">
        <w:t>.</w:t>
      </w:r>
      <w:r w:rsidR="00613777">
        <w:t xml:space="preserve"> </w:t>
      </w:r>
      <w:r w:rsidR="00B502DC">
        <w:t xml:space="preserve"> </w:t>
      </w:r>
      <w:r w:rsidR="008D6EAD">
        <w:t xml:space="preserve">From a groundwater management perspective, </w:t>
      </w:r>
      <w:r w:rsidR="00976EEB">
        <w:t xml:space="preserve">a </w:t>
      </w:r>
      <w:r w:rsidR="008D6EAD">
        <w:t>35-percent</w:t>
      </w:r>
      <w:r w:rsidR="00E746EB">
        <w:t xml:space="preserve"> </w:t>
      </w:r>
      <w:r w:rsidR="008D6EAD">
        <w:t xml:space="preserve">storage </w:t>
      </w:r>
      <w:r w:rsidR="00E746EB">
        <w:t>change is considered large.</w:t>
      </w:r>
    </w:p>
    <w:p w14:paraId="73F6B511" w14:textId="19FCD2E8" w:rsidR="001121F7" w:rsidRDefault="001121F7" w:rsidP="00CA575E">
      <w:pPr>
        <w:pStyle w:val="StyleBodyText12ptJustified"/>
        <w:numPr>
          <w:ilvl w:val="0"/>
          <w:numId w:val="39"/>
        </w:numPr>
      </w:pPr>
      <w:r>
        <w:t xml:space="preserve">Historically, </w:t>
      </w:r>
      <w:r w:rsidR="00976EEB">
        <w:t xml:space="preserve">groundwater </w:t>
      </w:r>
      <w:r>
        <w:t xml:space="preserve">production </w:t>
      </w:r>
      <w:r w:rsidR="00E746EB">
        <w:t>appears to be</w:t>
      </w:r>
      <w:r>
        <w:t xml:space="preserve"> significantly supported by return flows regardless of whe</w:t>
      </w:r>
      <w:r w:rsidR="00E746EB">
        <w:t xml:space="preserve">ther the climate was wet or dry or </w:t>
      </w:r>
      <w:r w:rsidR="00302363">
        <w:t xml:space="preserve">of </w:t>
      </w:r>
      <w:r w:rsidR="00E746EB">
        <w:t xml:space="preserve">the amount of water in storage. </w:t>
      </w:r>
    </w:p>
    <w:p w14:paraId="03F4E96B" w14:textId="65B9E94E" w:rsidR="00E746EB" w:rsidRDefault="00E746EB" w:rsidP="00CA575E">
      <w:pPr>
        <w:pStyle w:val="StyleBodyText12ptJustified"/>
        <w:numPr>
          <w:ilvl w:val="0"/>
          <w:numId w:val="39"/>
        </w:numPr>
      </w:pPr>
      <w:r>
        <w:t>The discharge of recycled water to</w:t>
      </w:r>
      <w:r w:rsidR="00302363">
        <w:t xml:space="preserve"> the</w:t>
      </w:r>
      <w:r>
        <w:t xml:space="preserve"> Temescal Wash has great potential to recharge the basin and makeup for reductions in recharge historically contributed by irrigation returns. Ironically, the recent increases in recharge from the discharge of recycled water to Temescal Wash </w:t>
      </w:r>
      <w:r w:rsidR="009B0E03">
        <w:t>will go to zero with the planned elimination of recycled water discharges to the wash.</w:t>
      </w:r>
    </w:p>
    <w:p w14:paraId="478C021E" w14:textId="66B53EF7" w:rsidR="001121F7" w:rsidRDefault="008D6EAD" w:rsidP="00CA575E">
      <w:pPr>
        <w:pStyle w:val="StyleBodyText12ptJustified"/>
        <w:numPr>
          <w:ilvl w:val="0"/>
          <w:numId w:val="39"/>
        </w:numPr>
      </w:pPr>
      <w:r>
        <w:t xml:space="preserve">Given the data available and current cultural conditions, groundwater production in excess of 2,000 acre-ft/yr may not be sustainable except </w:t>
      </w:r>
      <w:r w:rsidR="009B0E03">
        <w:t xml:space="preserve">for </w:t>
      </w:r>
      <w:r w:rsidR="00302363">
        <w:t xml:space="preserve">during </w:t>
      </w:r>
      <w:r w:rsidR="009B0E03">
        <w:t>wet periods.</w:t>
      </w:r>
    </w:p>
    <w:p w14:paraId="326D9A55" w14:textId="77777777" w:rsidR="005D6DFA" w:rsidRPr="00985A0E" w:rsidRDefault="005D6DFA" w:rsidP="00171A78">
      <w:pPr>
        <w:pStyle w:val="Heading3"/>
      </w:pPr>
      <w:bookmarkStart w:id="40" w:name="_Toc427921434"/>
      <w:r w:rsidRPr="00985A0E">
        <w:t>Groundwater Quality</w:t>
      </w:r>
      <w:bookmarkEnd w:id="40"/>
    </w:p>
    <w:p w14:paraId="31C66FD8" w14:textId="71D746C0" w:rsidR="006A5F84" w:rsidRDefault="00A37109" w:rsidP="00D75382">
      <w:pPr>
        <w:pStyle w:val="StyleBodyText12ptJustified"/>
      </w:pPr>
      <w:r>
        <w:t>G</w:t>
      </w:r>
      <w:r w:rsidR="00AF6C5F">
        <w:t xml:space="preserve">roundwater quality data for wells in the Bedford Basin were </w:t>
      </w:r>
      <w:r>
        <w:t>available</w:t>
      </w:r>
      <w:r w:rsidR="00AF6C5F">
        <w:t xml:space="preserve"> from Corona, </w:t>
      </w:r>
      <w:r w:rsidR="00302363">
        <w:t xml:space="preserve">the </w:t>
      </w:r>
      <w:r w:rsidR="00AF6C5F">
        <w:t xml:space="preserve">EVMWD, </w:t>
      </w:r>
      <w:r w:rsidR="00302363">
        <w:t xml:space="preserve">the </w:t>
      </w:r>
      <w:r w:rsidR="00AF6C5F">
        <w:t xml:space="preserve">Temescal Water Company, and </w:t>
      </w:r>
      <w:r w:rsidR="00302363">
        <w:t xml:space="preserve">the </w:t>
      </w:r>
      <w:r w:rsidR="00AF6C5F">
        <w:t>LLWD</w:t>
      </w:r>
      <w:r w:rsidR="00302363">
        <w:t>.</w:t>
      </w:r>
      <w:r w:rsidR="00B07EA2">
        <w:rPr>
          <w:rStyle w:val="FootnoteReference"/>
        </w:rPr>
        <w:footnoteReference w:id="15"/>
      </w:r>
      <w:r>
        <w:t xml:space="preserve"> </w:t>
      </w:r>
      <w:r w:rsidR="008D6EAD">
        <w:t xml:space="preserve">Water quality </w:t>
      </w:r>
      <w:r>
        <w:t xml:space="preserve">data </w:t>
      </w:r>
      <w:r w:rsidR="006A5F84">
        <w:t>were</w:t>
      </w:r>
      <w:r>
        <w:t xml:space="preserve"> </w:t>
      </w:r>
      <w:r w:rsidR="00AF6C5F">
        <w:t xml:space="preserve">collected from </w:t>
      </w:r>
      <w:r w:rsidR="00B07EA2">
        <w:t xml:space="preserve">this investigation and previous </w:t>
      </w:r>
      <w:r>
        <w:t xml:space="preserve">WEI investigations </w:t>
      </w:r>
      <w:r w:rsidR="00302363">
        <w:t xml:space="preserve">and </w:t>
      </w:r>
      <w:r w:rsidR="00AF6C5F">
        <w:t>stored in HydroDaVE</w:t>
      </w:r>
      <w:r w:rsidR="00AF6C5F">
        <w:rPr>
          <w:rFonts w:ascii="Calibri" w:hAnsi="Calibri"/>
        </w:rPr>
        <w:t>℠</w:t>
      </w:r>
      <w:r w:rsidR="00302363">
        <w:t>.</w:t>
      </w:r>
      <w:r w:rsidR="00985A0E" w:rsidRPr="00D70A23">
        <w:rPr>
          <w:rFonts w:ascii="Calibri" w:hAnsi="Calibri"/>
          <w:vertAlign w:val="superscript"/>
        </w:rPr>
        <w:t>1</w:t>
      </w:r>
      <w:r w:rsidR="00985A0E">
        <w:rPr>
          <w:rFonts w:ascii="Calibri" w:hAnsi="Calibri"/>
          <w:vertAlign w:val="superscript"/>
        </w:rPr>
        <w:t>2</w:t>
      </w:r>
      <w:r w:rsidR="00985A0E">
        <w:t xml:space="preserve"> </w:t>
      </w:r>
      <w:r w:rsidR="002D7097">
        <w:t>W</w:t>
      </w:r>
      <w:r w:rsidR="003D0A91">
        <w:t xml:space="preserve">ater quality </w:t>
      </w:r>
      <w:r w:rsidR="008D6EAD">
        <w:t>data from</w:t>
      </w:r>
      <w:r w:rsidR="003D0A91">
        <w:t xml:space="preserve"> each well in the </w:t>
      </w:r>
      <w:r w:rsidR="00FD557E">
        <w:t>Bedford B</w:t>
      </w:r>
      <w:r w:rsidR="003D0A91">
        <w:t xml:space="preserve">asin </w:t>
      </w:r>
      <w:r w:rsidR="002D7097">
        <w:t>were</w:t>
      </w:r>
      <w:r w:rsidR="003D0A91">
        <w:t xml:space="preserve"> compare</w:t>
      </w:r>
      <w:r w:rsidR="002D7097">
        <w:t>d</w:t>
      </w:r>
      <w:r w:rsidR="003D0A91">
        <w:t xml:space="preserve"> </w:t>
      </w:r>
      <w:r w:rsidR="002D7097">
        <w:t xml:space="preserve">against </w:t>
      </w:r>
      <w:r w:rsidR="00081D5D">
        <w:t xml:space="preserve">California Title 22 </w:t>
      </w:r>
      <w:r w:rsidR="003D0A91">
        <w:t>drinking water standards</w:t>
      </w:r>
      <w:r w:rsidR="00CA575E">
        <w:t>.</w:t>
      </w:r>
      <w:r w:rsidR="002D7097">
        <w:t xml:space="preserve"> </w:t>
      </w:r>
      <w:r w:rsidR="008D6EAD">
        <w:t>T</w:t>
      </w:r>
      <w:r w:rsidR="002D7097">
        <w:t>otal dissolved solids (</w:t>
      </w:r>
      <w:r w:rsidR="002D7097" w:rsidRPr="00D70A23">
        <w:t>TDS</w:t>
      </w:r>
      <w:r w:rsidR="002D7097">
        <w:t>)</w:t>
      </w:r>
      <w:r w:rsidR="002D7097" w:rsidRPr="00D70A23">
        <w:t xml:space="preserve"> and nitrate concentration</w:t>
      </w:r>
      <w:r w:rsidR="00EB4FA7">
        <w:t>s</w:t>
      </w:r>
      <w:r w:rsidR="002D7097">
        <w:t xml:space="preserve"> </w:t>
      </w:r>
      <w:r w:rsidR="002D7097" w:rsidRPr="00D70A23">
        <w:t xml:space="preserve">from </w:t>
      </w:r>
      <w:r w:rsidR="002D7097">
        <w:t xml:space="preserve">each </w:t>
      </w:r>
      <w:r w:rsidR="002D7097" w:rsidRPr="00D70A23">
        <w:t xml:space="preserve">well were </w:t>
      </w:r>
      <w:r w:rsidR="002D7097">
        <w:t xml:space="preserve">also </w:t>
      </w:r>
      <w:r w:rsidR="002D7097" w:rsidRPr="00D70A23">
        <w:t xml:space="preserve">characterized because of their importance </w:t>
      </w:r>
      <w:r w:rsidR="00EB4FA7">
        <w:t>to the</w:t>
      </w:r>
      <w:r w:rsidR="002D7097" w:rsidRPr="00D70A23">
        <w:t xml:space="preserve"> ongoing salt and nutrient management planning </w:t>
      </w:r>
      <w:r w:rsidR="00EB4FA7">
        <w:t>for</w:t>
      </w:r>
      <w:r w:rsidR="002D7097" w:rsidRPr="00D70A23">
        <w:t xml:space="preserve"> the Upper Temescal Valley</w:t>
      </w:r>
      <w:r w:rsidR="002D7097">
        <w:t>.</w:t>
      </w:r>
    </w:p>
    <w:p w14:paraId="38711B6F" w14:textId="3B4BC586" w:rsidR="003B2E16" w:rsidRDefault="003B2E16" w:rsidP="00ED2199">
      <w:pPr>
        <w:pStyle w:val="Heading4"/>
      </w:pPr>
      <w:bookmarkStart w:id="41" w:name="_Toc427921435"/>
      <w:r>
        <w:t xml:space="preserve">Comparison of </w:t>
      </w:r>
      <w:r w:rsidR="008D6EAD">
        <w:t xml:space="preserve">Historical </w:t>
      </w:r>
      <w:r>
        <w:t>Water Quality</w:t>
      </w:r>
      <w:r w:rsidR="008D6EAD">
        <w:t xml:space="preserve"> Data</w:t>
      </w:r>
      <w:r>
        <w:t xml:space="preserve"> to Title 22 Drinking Water Standards</w:t>
      </w:r>
      <w:bookmarkEnd w:id="41"/>
    </w:p>
    <w:p w14:paraId="05A540FE" w14:textId="437BECEB" w:rsidR="0006175C" w:rsidRDefault="00EA392C" w:rsidP="00ED2199">
      <w:pPr>
        <w:pStyle w:val="StyleBodyText12ptJustified"/>
      </w:pPr>
      <w:r w:rsidRPr="007B5F31">
        <w:t>Appendix A</w:t>
      </w:r>
      <w:r>
        <w:t xml:space="preserve"> contains a HydroDaVE</w:t>
      </w:r>
      <w:r w:rsidR="006D61BD" w:rsidRPr="00B07EA2">
        <w:rPr>
          <w:rFonts w:ascii="MS Mincho" w:eastAsia="MS Mincho" w:hAnsi="MS Mincho" w:cs="MS Mincho" w:hint="eastAsia"/>
        </w:rPr>
        <w:t>℠</w:t>
      </w:r>
      <w:r>
        <w:t xml:space="preserve"> </w:t>
      </w:r>
      <w:r w:rsidR="00630D27">
        <w:t xml:space="preserve">exceedance </w:t>
      </w:r>
      <w:r>
        <w:t xml:space="preserve">report that compares all </w:t>
      </w:r>
      <w:r w:rsidR="008D6EAD">
        <w:t xml:space="preserve">available </w:t>
      </w:r>
      <w:r w:rsidR="006D61BD">
        <w:t xml:space="preserve">Bedford Basin </w:t>
      </w:r>
      <w:r>
        <w:t xml:space="preserve">water quality data </w:t>
      </w:r>
      <w:r w:rsidR="006D61BD">
        <w:t>from</w:t>
      </w:r>
      <w:r>
        <w:t xml:space="preserve"> 2009 to 2014 to current </w:t>
      </w:r>
      <w:r w:rsidR="00630D27">
        <w:t xml:space="preserve">EPA and </w:t>
      </w:r>
      <w:r>
        <w:t xml:space="preserve">California </w:t>
      </w:r>
      <w:r w:rsidR="007B42DC">
        <w:t>Primary and Secondary Maximum Contaminant L</w:t>
      </w:r>
      <w:r>
        <w:t>evels (PMCL and SMCL, respectively)</w:t>
      </w:r>
      <w:r w:rsidR="00630D27">
        <w:t xml:space="preserve"> as well as the California Notification Levels</w:t>
      </w:r>
      <w:r w:rsidR="0006175C">
        <w:t xml:space="preserve"> under California Title 22 drinking water standards</w:t>
      </w:r>
      <w:r>
        <w:t xml:space="preserve">. </w:t>
      </w:r>
      <w:r w:rsidR="00ED2199" w:rsidRPr="002D7097">
        <w:t>Table 3-3</w:t>
      </w:r>
      <w:r w:rsidR="00ED2199">
        <w:t xml:space="preserve"> </w:t>
      </w:r>
      <w:r w:rsidR="0006175C">
        <w:t>summarizes the results of this report by listing each chemical that was detected above a PMCL or SMCL, the numbers of times the PMCL or SMCL was exceeded, and the number of wells at which the exceedances occurred</w:t>
      </w:r>
      <w:r w:rsidR="00ED2199">
        <w:t>.</w:t>
      </w:r>
      <w:r w:rsidR="0006175C">
        <w:t xml:space="preserve"> From 2009 to 2014, the constituents of concern where the PMCL or SMCL was exceeded in more than one well and </w:t>
      </w:r>
      <w:r w:rsidR="00A24B19">
        <w:t xml:space="preserve">on </w:t>
      </w:r>
      <w:r w:rsidR="0006175C">
        <w:t xml:space="preserve">more than one instance included iron, manganese, sulfate, and </w:t>
      </w:r>
      <w:r w:rsidR="00E673CF">
        <w:t>TDS.</w:t>
      </w:r>
    </w:p>
    <w:p w14:paraId="242B6933" w14:textId="6C8D45D6" w:rsidR="00ED2199" w:rsidRDefault="00ED2199" w:rsidP="00ED2199">
      <w:pPr>
        <w:pStyle w:val="StyleBodyText12ptJustified"/>
      </w:pPr>
      <w:r w:rsidRPr="00A24B19">
        <w:t>Table 3-3</w:t>
      </w:r>
      <w:r>
        <w:t xml:space="preserve"> is limited to the </w:t>
      </w:r>
      <w:r w:rsidR="00CB5207">
        <w:t xml:space="preserve">publically </w:t>
      </w:r>
      <w:r>
        <w:t>available water quality data</w:t>
      </w:r>
      <w:r w:rsidR="00BC0255">
        <w:t xml:space="preserve">, the implication being that there is likely more data available and that </w:t>
      </w:r>
      <w:r w:rsidR="004131EA">
        <w:t xml:space="preserve">these </w:t>
      </w:r>
      <w:r w:rsidR="00BC0255">
        <w:t>data may provide important new information regarding the suitability of Bedford Basin groundwater for potable uses and treatment requirements</w:t>
      </w:r>
      <w:r w:rsidR="00FC5E72">
        <w:t>.</w:t>
      </w:r>
      <w:r>
        <w:t xml:space="preserve"> </w:t>
      </w:r>
      <w:r w:rsidRPr="005257AF">
        <w:t xml:space="preserve">The </w:t>
      </w:r>
      <w:r w:rsidR="00D70A23" w:rsidRPr="005257AF">
        <w:t xml:space="preserve">spatial </w:t>
      </w:r>
      <w:r w:rsidRPr="005257AF">
        <w:t xml:space="preserve">and </w:t>
      </w:r>
      <w:r w:rsidR="00D70A23" w:rsidRPr="005257AF">
        <w:t xml:space="preserve">temporal </w:t>
      </w:r>
      <w:r w:rsidRPr="005257AF">
        <w:t xml:space="preserve">characterization of water quality conditions in the basin is limited by the location of </w:t>
      </w:r>
      <w:r w:rsidR="00D70A23" w:rsidRPr="005257AF">
        <w:t xml:space="preserve">the </w:t>
      </w:r>
      <w:r w:rsidRPr="005257AF">
        <w:t>wells</w:t>
      </w:r>
      <w:r w:rsidR="00630D27">
        <w:t xml:space="preserve">; </w:t>
      </w:r>
      <w:r w:rsidRPr="005257AF">
        <w:t xml:space="preserve">wells </w:t>
      </w:r>
      <w:r w:rsidR="00D70A23" w:rsidRPr="005257AF">
        <w:t xml:space="preserve">within the Bedford Basin are typically </w:t>
      </w:r>
      <w:r w:rsidRPr="005257AF">
        <w:t xml:space="preserve">clustered in groups with large areas </w:t>
      </w:r>
      <w:r w:rsidR="00D70A23" w:rsidRPr="005257AF">
        <w:t xml:space="preserve">lacking </w:t>
      </w:r>
      <w:r w:rsidRPr="005257AF">
        <w:t>wells from which to assess water quality conditions</w:t>
      </w:r>
      <w:r w:rsidR="00C26990">
        <w:t>. The combination of data from only a few wells, large uncharacterized areas</w:t>
      </w:r>
      <w:r w:rsidR="004131EA">
        <w:t>,</w:t>
      </w:r>
      <w:r w:rsidR="00C26990">
        <w:t xml:space="preserve"> and</w:t>
      </w:r>
      <w:r w:rsidR="00B502DC">
        <w:t xml:space="preserve"> </w:t>
      </w:r>
      <w:r w:rsidRPr="005257AF">
        <w:t xml:space="preserve">relatively few </w:t>
      </w:r>
      <w:r w:rsidR="00C26990">
        <w:t>sampling</w:t>
      </w:r>
      <w:r w:rsidR="00C26990" w:rsidRPr="005257AF">
        <w:t xml:space="preserve"> </w:t>
      </w:r>
      <w:r w:rsidRPr="005257AF">
        <w:t xml:space="preserve">events in the </w:t>
      </w:r>
      <w:r w:rsidR="005257AF" w:rsidRPr="005257AF">
        <w:t xml:space="preserve">last five years </w:t>
      </w:r>
      <w:r w:rsidR="00C26990">
        <w:t>limit</w:t>
      </w:r>
      <w:r w:rsidR="004131EA">
        <w:t>s</w:t>
      </w:r>
      <w:r w:rsidR="00C26990">
        <w:t xml:space="preserve"> the confidence in the water quality characterization described herein.</w:t>
      </w:r>
    </w:p>
    <w:p w14:paraId="6FB8DCD7" w14:textId="77777777" w:rsidR="00E41DF0" w:rsidRDefault="00E41DF0" w:rsidP="00ED2199">
      <w:pPr>
        <w:pStyle w:val="Heading4"/>
      </w:pPr>
      <w:bookmarkStart w:id="42" w:name="_Toc427921436"/>
      <w:r>
        <w:t>TDS and Nitrate Characterization</w:t>
      </w:r>
      <w:bookmarkEnd w:id="42"/>
    </w:p>
    <w:p w14:paraId="24BD7774" w14:textId="7E5D1C88" w:rsidR="005D6DFA" w:rsidRDefault="00F57CDB" w:rsidP="00D75382">
      <w:pPr>
        <w:pStyle w:val="StyleBodyText12ptJustified"/>
      </w:pPr>
      <w:r w:rsidRPr="004D0D25">
        <w:t>Figure 3-</w:t>
      </w:r>
      <w:r w:rsidR="00F57C5A" w:rsidRPr="004D0D25">
        <w:t>8</w:t>
      </w:r>
      <w:r w:rsidR="00111F82" w:rsidRPr="004D0D25">
        <w:t xml:space="preserve"> and 3-</w:t>
      </w:r>
      <w:r w:rsidR="00F57C5A" w:rsidRPr="004D0D25">
        <w:t>9</w:t>
      </w:r>
      <w:r w:rsidR="004E70DC" w:rsidRPr="004D0D25">
        <w:t xml:space="preserve"> show the areal distribution of groundwater quality </w:t>
      </w:r>
      <w:r w:rsidR="006A5F84" w:rsidRPr="004D0D25">
        <w:t xml:space="preserve">in </w:t>
      </w:r>
      <w:r w:rsidR="007D3E8D" w:rsidRPr="004D0D25">
        <w:t>the</w:t>
      </w:r>
      <w:r w:rsidR="006A5F84" w:rsidRPr="004D0D25">
        <w:t xml:space="preserve"> Bedford</w:t>
      </w:r>
      <w:r w:rsidR="001A7241" w:rsidRPr="004D0D25">
        <w:t xml:space="preserve"> Basin</w:t>
      </w:r>
      <w:r w:rsidR="006A5F84" w:rsidRPr="004D0D25">
        <w:t xml:space="preserve"> </w:t>
      </w:r>
      <w:r w:rsidR="004E70DC" w:rsidRPr="004D0D25">
        <w:t xml:space="preserve">for </w:t>
      </w:r>
      <w:r w:rsidR="007B42DC" w:rsidRPr="004D0D25">
        <w:t>TDS</w:t>
      </w:r>
      <w:r w:rsidR="004E70DC" w:rsidRPr="004D0D25">
        <w:t xml:space="preserve"> and nitrate as nitrogen, respectively. Both figures</w:t>
      </w:r>
      <w:r w:rsidR="004E70DC">
        <w:t xml:space="preserve"> show the maximum concentration measured at each well with available data from 2009 to 2014 using a standardized class interval based on the water quality standard</w:t>
      </w:r>
      <w:r w:rsidR="007D3E8D">
        <w:t>s</w:t>
      </w:r>
      <w:r w:rsidR="004E70DC">
        <w:t xml:space="preserve"> for the constituent of concern.</w:t>
      </w:r>
      <w:r w:rsidR="004B5832">
        <w:t xml:space="preserve"> </w:t>
      </w:r>
    </w:p>
    <w:p w14:paraId="139C69A5" w14:textId="41B0FF98" w:rsidR="001E7202" w:rsidRDefault="001E7202" w:rsidP="00D75382">
      <w:pPr>
        <w:pStyle w:val="StyleBodyText12ptJustified"/>
      </w:pPr>
      <w:r>
        <w:t xml:space="preserve">The SMCL for TDS is 500 </w:t>
      </w:r>
      <w:r w:rsidRPr="004D0D25">
        <w:t>mg/L. Figure</w:t>
      </w:r>
      <w:r w:rsidRPr="00EB1095">
        <w:t xml:space="preserve"> 3-</w:t>
      </w:r>
      <w:r w:rsidR="00C14E2E" w:rsidRPr="00EB1095">
        <w:t>8</w:t>
      </w:r>
      <w:r w:rsidRPr="00EB1095">
        <w:t xml:space="preserve"> displays</w:t>
      </w:r>
      <w:r w:rsidRPr="002E0521">
        <w:t xml:space="preserve"> the areal distribution of the maximum TDS concentration at wells in Bedford Basin from 2009 to 2014.</w:t>
      </w:r>
      <w:r>
        <w:t xml:space="preserve"> During thi</w:t>
      </w:r>
      <w:r w:rsidR="001C4516">
        <w:t xml:space="preserve">s period, all </w:t>
      </w:r>
      <w:r w:rsidR="001A7241">
        <w:t>10</w:t>
      </w:r>
      <w:r w:rsidR="00F31432" w:rsidRPr="00F31432">
        <w:t xml:space="preserve"> </w:t>
      </w:r>
      <w:r w:rsidR="001C4516" w:rsidRPr="00F31432">
        <w:t>w</w:t>
      </w:r>
      <w:r w:rsidR="001C4516" w:rsidRPr="00C14361">
        <w:t xml:space="preserve">ells </w:t>
      </w:r>
      <w:r w:rsidRPr="00D651E7">
        <w:t>sampled for TDS exceeded the SMCL.</w:t>
      </w:r>
      <w:r>
        <w:t xml:space="preserve"> The maximum TDS concentrations ranged from </w:t>
      </w:r>
      <w:r w:rsidR="001A7241">
        <w:t>580</w:t>
      </w:r>
      <w:r w:rsidR="00F31432">
        <w:t xml:space="preserve"> </w:t>
      </w:r>
      <w:r>
        <w:t xml:space="preserve">mg/L to </w:t>
      </w:r>
      <w:r w:rsidR="001A7241">
        <w:t>990</w:t>
      </w:r>
      <w:r w:rsidR="00F31432">
        <w:t xml:space="preserve"> </w:t>
      </w:r>
      <w:r>
        <w:t xml:space="preserve">mg/L and averaged </w:t>
      </w:r>
      <w:r w:rsidR="001A7241">
        <w:t>813</w:t>
      </w:r>
      <w:r w:rsidR="00F31432">
        <w:t xml:space="preserve"> </w:t>
      </w:r>
      <w:r>
        <w:t xml:space="preserve">mg/L. The highest TDS concentrations </w:t>
      </w:r>
      <w:r w:rsidR="00704992">
        <w:t>(&gt;</w:t>
      </w:r>
      <w:r w:rsidR="00F31432">
        <w:t xml:space="preserve">900 </w:t>
      </w:r>
      <w:r w:rsidR="00704992">
        <w:t>mg/L) were present at Flagler 2A</w:t>
      </w:r>
      <w:r w:rsidR="001A7241">
        <w:t xml:space="preserve"> </w:t>
      </w:r>
      <w:r w:rsidR="00F31432">
        <w:t xml:space="preserve">and </w:t>
      </w:r>
      <w:r w:rsidR="00704992">
        <w:t>LLWD MW 1A</w:t>
      </w:r>
      <w:r w:rsidR="00704992" w:rsidRPr="007B42DC">
        <w:t>.</w:t>
      </w:r>
      <w:r w:rsidR="004B5832" w:rsidRPr="007B42DC">
        <w:t xml:space="preserve"> The </w:t>
      </w:r>
      <w:r w:rsidR="003D0A91" w:rsidRPr="007B42DC">
        <w:t>source/cause</w:t>
      </w:r>
      <w:r w:rsidR="004B5832" w:rsidRPr="007B42DC">
        <w:t xml:space="preserve"> of elevated TDS</w:t>
      </w:r>
      <w:r w:rsidR="003D0A91" w:rsidRPr="007B42DC">
        <w:t xml:space="preserve"> include</w:t>
      </w:r>
      <w:r w:rsidR="00ED2199" w:rsidRPr="007B42DC">
        <w:t>s</w:t>
      </w:r>
      <w:r w:rsidR="003D0A91" w:rsidRPr="007B42DC">
        <w:t xml:space="preserve"> DIPAW, septic tank and recycled water discharges, evapotranspiration by riparian vegetation, Lake Elsinore overflows</w:t>
      </w:r>
      <w:r w:rsidR="00ED2199" w:rsidRPr="007B42DC">
        <w:t>,</w:t>
      </w:r>
      <w:r w:rsidR="003D0A91" w:rsidRPr="007B42DC">
        <w:t xml:space="preserve"> and leaching from rocks. The</w:t>
      </w:r>
      <w:r w:rsidR="004B5832" w:rsidRPr="007B42DC">
        <w:t xml:space="preserve"> </w:t>
      </w:r>
      <w:r w:rsidR="003D0A91" w:rsidRPr="007B42DC">
        <w:t>TDS concentration</w:t>
      </w:r>
      <w:r w:rsidR="004B5832" w:rsidRPr="007B42DC">
        <w:t xml:space="preserve"> in DIPAW is higher than in precipitation and irrigation water and the receiving groundwater</w:t>
      </w:r>
      <w:r w:rsidR="00EB31E9">
        <w:t>;</w:t>
      </w:r>
      <w:r w:rsidR="004B5832" w:rsidRPr="007B42DC">
        <w:t xml:space="preserve"> thus</w:t>
      </w:r>
      <w:r w:rsidR="007B42DC" w:rsidRPr="007B42DC">
        <w:t>,</w:t>
      </w:r>
      <w:r w:rsidR="004B5832" w:rsidRPr="007B42DC">
        <w:t xml:space="preserve"> DIPAW degrades groundwater. The increase in TDS</w:t>
      </w:r>
      <w:r w:rsidR="003D0A91" w:rsidRPr="007B42DC">
        <w:t xml:space="preserve"> concentration</w:t>
      </w:r>
      <w:r w:rsidR="00EB31E9">
        <w:t>s</w:t>
      </w:r>
      <w:r w:rsidR="004B5832" w:rsidRPr="007B42DC">
        <w:t xml:space="preserve"> is caused by evapotranspiration and mass added through the application of fertilizers. The relative contribution of DIPAW to other recharge water governs the rate of groundwater quality degradation</w:t>
      </w:r>
      <w:r w:rsidR="00EB31E9">
        <w:t>:</w:t>
      </w:r>
      <w:r w:rsidR="004B5832" w:rsidRPr="007B42DC">
        <w:t xml:space="preserve"> the greater the relative contribution of DIPAW to other sources</w:t>
      </w:r>
      <w:r w:rsidR="007B42DC" w:rsidRPr="007B42DC">
        <w:t>,</w:t>
      </w:r>
      <w:r w:rsidR="004B5832" w:rsidRPr="007B42DC">
        <w:t xml:space="preserve"> the greater the rate of degradation.</w:t>
      </w:r>
      <w:r w:rsidR="00D17064">
        <w:t xml:space="preserve"> </w:t>
      </w:r>
    </w:p>
    <w:p w14:paraId="59B14DFA" w14:textId="0209574D" w:rsidR="00C26990" w:rsidRDefault="00C26990" w:rsidP="00D75382">
      <w:pPr>
        <w:pStyle w:val="StyleBodyText12ptJustified"/>
      </w:pPr>
      <w:r w:rsidRPr="005257AF">
        <w:rPr>
          <w:szCs w:val="22"/>
        </w:rPr>
        <w:t xml:space="preserve">The PMCL for nitrate as nitrogen in drinking water is 10 mg/L. </w:t>
      </w:r>
      <w:r w:rsidRPr="004D0D25">
        <w:rPr>
          <w:szCs w:val="22"/>
        </w:rPr>
        <w:t>Figure 3-9</w:t>
      </w:r>
      <w:r w:rsidRPr="005257AF">
        <w:rPr>
          <w:szCs w:val="22"/>
        </w:rPr>
        <w:t xml:space="preserve"> displays the areal distribution of the maximum nitrate as nitrogen concentration at wells in the Bedford Basin from 2009 to 2014. During this period, none of the wells sampled for nitrate as nitrogen exceeded the PMCL. The maximum nitrate as nitrogen concentrations ranged from &lt;1 mg/L to 9.5 mg/L and averaged 4.3 mg/L. The sources of nitrate degradation are excess nitrogen from fertilizer application that is subsequently concentrated by evapotranspiration and septic tank discharges to groundwater</w:t>
      </w:r>
    </w:p>
    <w:p w14:paraId="62DB7A41" w14:textId="77777777" w:rsidR="00F3457A" w:rsidRDefault="00F3457A" w:rsidP="00D75382">
      <w:pPr>
        <w:pStyle w:val="BodyText"/>
        <w:jc w:val="both"/>
        <w:rPr>
          <w:rFonts w:asciiTheme="majorHAnsi" w:hAnsiTheme="majorHAnsi"/>
          <w:sz w:val="22"/>
          <w:szCs w:val="22"/>
        </w:rPr>
        <w:sectPr w:rsidR="00F3457A" w:rsidSect="004D1467">
          <w:headerReference w:type="default" r:id="rId31"/>
          <w:pgSz w:w="12240" w:h="15840" w:code="1"/>
          <w:pgMar w:top="1080" w:right="1728" w:bottom="1440" w:left="1728" w:header="864" w:footer="864" w:gutter="0"/>
          <w:pgNumType w:start="1" w:chapStyle="1"/>
          <w:cols w:space="720"/>
          <w:titlePg/>
        </w:sectPr>
      </w:pPr>
    </w:p>
    <w:p w14:paraId="52270239" w14:textId="3B329906" w:rsidR="00F3457A" w:rsidRPr="00074B83" w:rsidRDefault="00F3457A" w:rsidP="00E26279">
      <w:pPr>
        <w:pStyle w:val="Heading1"/>
        <w:pBdr>
          <w:bottom w:val="none" w:sz="0" w:space="0" w:color="auto"/>
        </w:pBdr>
        <w:spacing w:after="600"/>
        <w:ind w:left="0"/>
      </w:pPr>
      <w:bookmarkStart w:id="43" w:name="_Toc427921437"/>
      <w:r>
        <w:t>– Sustainable Groundwater Management Act Implications on Groundwater Production from the Bedford Basin</w:t>
      </w:r>
      <w:bookmarkEnd w:id="43"/>
    </w:p>
    <w:p w14:paraId="3D8D164E" w14:textId="7CAC9091" w:rsidR="00F3457A" w:rsidRDefault="00F3457A" w:rsidP="00F3457A">
      <w:pPr>
        <w:pStyle w:val="Heading2"/>
      </w:pPr>
      <w:bookmarkStart w:id="44" w:name="_Toc427921438"/>
      <w:r>
        <w:t>The Sustainable Groundwater Management Act (SGMA)</w:t>
      </w:r>
      <w:bookmarkEnd w:id="44"/>
    </w:p>
    <w:p w14:paraId="12D2A78B" w14:textId="19CB0BD5" w:rsidR="00F3457A" w:rsidRPr="00E26279" w:rsidRDefault="00F3457A" w:rsidP="00E26279">
      <w:pPr>
        <w:pStyle w:val="BodyText"/>
        <w:jc w:val="both"/>
        <w:rPr>
          <w:rFonts w:asciiTheme="majorHAnsi" w:hAnsiTheme="majorHAnsi"/>
          <w:sz w:val="22"/>
          <w:szCs w:val="22"/>
        </w:rPr>
      </w:pPr>
      <w:r w:rsidRPr="00E26279">
        <w:rPr>
          <w:rFonts w:asciiTheme="majorHAnsi" w:hAnsiTheme="majorHAnsi"/>
          <w:sz w:val="22"/>
          <w:szCs w:val="22"/>
        </w:rPr>
        <w:t>The Sustainab</w:t>
      </w:r>
      <w:r w:rsidR="008204DD" w:rsidRPr="008204DD">
        <w:rPr>
          <w:rFonts w:asciiTheme="majorHAnsi" w:hAnsiTheme="majorHAnsi"/>
          <w:sz w:val="22"/>
          <w:szCs w:val="22"/>
        </w:rPr>
        <w:t>le Groundwater Management Act (</w:t>
      </w:r>
      <w:r w:rsidRPr="00E26279">
        <w:rPr>
          <w:rFonts w:asciiTheme="majorHAnsi" w:hAnsiTheme="majorHAnsi"/>
          <w:sz w:val="22"/>
          <w:szCs w:val="22"/>
        </w:rPr>
        <w:t>SGMA) recently passed by the Legislature fundamentally changes</w:t>
      </w:r>
      <w:r w:rsidR="00931AB0">
        <w:rPr>
          <w:rFonts w:asciiTheme="majorHAnsi" w:hAnsiTheme="majorHAnsi"/>
          <w:sz w:val="22"/>
          <w:szCs w:val="22"/>
        </w:rPr>
        <w:t xml:space="preserve"> the</w:t>
      </w:r>
      <w:r w:rsidRPr="00E26279">
        <w:rPr>
          <w:rFonts w:asciiTheme="majorHAnsi" w:hAnsiTheme="majorHAnsi"/>
          <w:sz w:val="22"/>
          <w:szCs w:val="22"/>
        </w:rPr>
        <w:t xml:space="preserve"> management of California’s groundwater basins</w:t>
      </w:r>
      <w:r w:rsidR="00931AB0">
        <w:rPr>
          <w:rFonts w:asciiTheme="majorHAnsi" w:hAnsiTheme="majorHAnsi"/>
          <w:sz w:val="22"/>
          <w:szCs w:val="22"/>
        </w:rPr>
        <w:t>.</w:t>
      </w:r>
      <w:r w:rsidRPr="00E26279">
        <w:rPr>
          <w:rFonts w:asciiTheme="majorHAnsi" w:hAnsiTheme="majorHAnsi"/>
          <w:sz w:val="22"/>
          <w:szCs w:val="22"/>
          <w:vertAlign w:val="superscript"/>
        </w:rPr>
        <w:footnoteReference w:id="16"/>
      </w:r>
      <w:r w:rsidRPr="00E26279">
        <w:rPr>
          <w:rFonts w:asciiTheme="majorHAnsi" w:hAnsiTheme="majorHAnsi"/>
          <w:sz w:val="22"/>
          <w:szCs w:val="22"/>
        </w:rPr>
        <w:t xml:space="preserve"> The following is a summary of the SGMA</w:t>
      </w:r>
      <w:r w:rsidR="00931AB0">
        <w:rPr>
          <w:rFonts w:asciiTheme="majorHAnsi" w:hAnsiTheme="majorHAnsi"/>
          <w:sz w:val="22"/>
          <w:szCs w:val="22"/>
        </w:rPr>
        <w:t>,</w:t>
      </w:r>
      <w:r w:rsidRPr="00E26279">
        <w:rPr>
          <w:rFonts w:asciiTheme="majorHAnsi" w:hAnsiTheme="majorHAnsi"/>
          <w:sz w:val="22"/>
          <w:szCs w:val="22"/>
        </w:rPr>
        <w:t xml:space="preserve"> developed from </w:t>
      </w:r>
      <w:r w:rsidRPr="00B72640">
        <w:rPr>
          <w:rFonts w:asciiTheme="majorHAnsi" w:hAnsiTheme="majorHAnsi"/>
          <w:i/>
          <w:sz w:val="22"/>
          <w:szCs w:val="22"/>
        </w:rPr>
        <w:t>Desktop Reference to the Sustainable Groundwater Management Act of 2014</w:t>
      </w:r>
      <w:r w:rsidR="00931AB0">
        <w:rPr>
          <w:rFonts w:asciiTheme="majorHAnsi" w:hAnsiTheme="majorHAnsi"/>
          <w:i/>
          <w:sz w:val="22"/>
          <w:szCs w:val="22"/>
        </w:rPr>
        <w:t>,</w:t>
      </w:r>
      <w:r w:rsidRPr="00E26279">
        <w:rPr>
          <w:rFonts w:asciiTheme="majorHAnsi" w:hAnsiTheme="majorHAnsi"/>
          <w:sz w:val="22"/>
          <w:szCs w:val="22"/>
        </w:rPr>
        <w:t xml:space="preserve"> </w:t>
      </w:r>
      <w:r w:rsidR="00931AB0">
        <w:rPr>
          <w:rFonts w:asciiTheme="majorHAnsi" w:hAnsiTheme="majorHAnsi"/>
          <w:sz w:val="22"/>
          <w:szCs w:val="22"/>
        </w:rPr>
        <w:t>prepared</w:t>
      </w:r>
      <w:r w:rsidR="00931AB0" w:rsidRPr="00E26279">
        <w:rPr>
          <w:rFonts w:asciiTheme="majorHAnsi" w:hAnsiTheme="majorHAnsi"/>
          <w:sz w:val="22"/>
          <w:szCs w:val="22"/>
        </w:rPr>
        <w:t xml:space="preserve"> </w:t>
      </w:r>
      <w:r w:rsidRPr="00E26279">
        <w:rPr>
          <w:rFonts w:asciiTheme="majorHAnsi" w:hAnsiTheme="majorHAnsi"/>
          <w:sz w:val="22"/>
          <w:szCs w:val="22"/>
        </w:rPr>
        <w:t>by the law firm of Brownstein, Hyatt, Farber</w:t>
      </w:r>
      <w:r w:rsidR="008204DD">
        <w:rPr>
          <w:rFonts w:asciiTheme="majorHAnsi" w:hAnsiTheme="majorHAnsi"/>
          <w:sz w:val="22"/>
          <w:szCs w:val="22"/>
        </w:rPr>
        <w:t>,</w:t>
      </w:r>
      <w:r w:rsidRPr="00E26279">
        <w:rPr>
          <w:rFonts w:asciiTheme="majorHAnsi" w:hAnsiTheme="majorHAnsi"/>
          <w:sz w:val="22"/>
          <w:szCs w:val="22"/>
        </w:rPr>
        <w:t xml:space="preserve"> and Schreck.</w:t>
      </w:r>
      <w:r w:rsidR="00931AB0" w:rsidRPr="00B72640">
        <w:rPr>
          <w:rFonts w:asciiTheme="majorHAnsi" w:hAnsiTheme="majorHAnsi"/>
          <w:i/>
          <w:sz w:val="22"/>
          <w:szCs w:val="22"/>
          <w:vertAlign w:val="superscript"/>
        </w:rPr>
        <w:footnoteReference w:id="17"/>
      </w:r>
      <w:r w:rsidRPr="00E26279">
        <w:rPr>
          <w:rFonts w:asciiTheme="majorHAnsi" w:hAnsiTheme="majorHAnsi"/>
          <w:sz w:val="22"/>
          <w:szCs w:val="22"/>
        </w:rPr>
        <w:t xml:space="preserve"> </w:t>
      </w:r>
      <w:r w:rsidRPr="00985A0E">
        <w:rPr>
          <w:rFonts w:asciiTheme="majorHAnsi" w:hAnsiTheme="majorHAnsi"/>
          <w:sz w:val="22"/>
          <w:szCs w:val="22"/>
        </w:rPr>
        <w:t xml:space="preserve">The implications for </w:t>
      </w:r>
      <w:r w:rsidR="00C72AF1" w:rsidRPr="00985A0E">
        <w:rPr>
          <w:rFonts w:asciiTheme="majorHAnsi" w:hAnsiTheme="majorHAnsi"/>
          <w:sz w:val="22"/>
          <w:szCs w:val="22"/>
        </w:rPr>
        <w:t xml:space="preserve">the </w:t>
      </w:r>
      <w:r w:rsidRPr="00985A0E">
        <w:rPr>
          <w:rFonts w:asciiTheme="majorHAnsi" w:hAnsiTheme="majorHAnsi"/>
          <w:sz w:val="22"/>
          <w:szCs w:val="22"/>
        </w:rPr>
        <w:t>Agencies in developing potable supplies from the Bedford Basin and</w:t>
      </w:r>
      <w:r w:rsidR="00931AB0" w:rsidRPr="00985A0E">
        <w:rPr>
          <w:rFonts w:asciiTheme="majorHAnsi" w:hAnsiTheme="majorHAnsi"/>
          <w:sz w:val="22"/>
          <w:szCs w:val="22"/>
        </w:rPr>
        <w:t>,</w:t>
      </w:r>
      <w:r w:rsidRPr="00985A0E">
        <w:rPr>
          <w:rFonts w:asciiTheme="majorHAnsi" w:hAnsiTheme="majorHAnsi"/>
          <w:sz w:val="22"/>
          <w:szCs w:val="22"/>
        </w:rPr>
        <w:t xml:space="preserve"> more generally</w:t>
      </w:r>
      <w:r w:rsidR="00931AB0" w:rsidRPr="00985A0E">
        <w:rPr>
          <w:rFonts w:asciiTheme="majorHAnsi" w:hAnsiTheme="majorHAnsi"/>
          <w:sz w:val="22"/>
          <w:szCs w:val="22"/>
        </w:rPr>
        <w:t>,</w:t>
      </w:r>
      <w:r w:rsidRPr="00985A0E">
        <w:rPr>
          <w:rFonts w:asciiTheme="majorHAnsi" w:hAnsiTheme="majorHAnsi"/>
          <w:sz w:val="22"/>
          <w:szCs w:val="22"/>
        </w:rPr>
        <w:t xml:space="preserve"> producing groundwater for any purpose from the Bedford and surrounding basins are </w:t>
      </w:r>
      <w:r w:rsidR="00931AB0" w:rsidRPr="00985A0E">
        <w:rPr>
          <w:rFonts w:asciiTheme="majorHAnsi" w:hAnsiTheme="majorHAnsi"/>
          <w:sz w:val="22"/>
          <w:szCs w:val="22"/>
        </w:rPr>
        <w:t xml:space="preserve">described </w:t>
      </w:r>
      <w:r w:rsidRPr="00985A0E">
        <w:rPr>
          <w:rFonts w:asciiTheme="majorHAnsi" w:hAnsiTheme="majorHAnsi"/>
          <w:sz w:val="22"/>
          <w:szCs w:val="22"/>
        </w:rPr>
        <w:t xml:space="preserve">below and included in the conclusions and recommendations in the </w:t>
      </w:r>
      <w:r w:rsidR="00931AB0" w:rsidRPr="00985A0E">
        <w:rPr>
          <w:rFonts w:asciiTheme="majorHAnsi" w:hAnsiTheme="majorHAnsi"/>
          <w:sz w:val="22"/>
          <w:szCs w:val="22"/>
        </w:rPr>
        <w:t xml:space="preserve">following </w:t>
      </w:r>
      <w:r w:rsidRPr="00985A0E">
        <w:rPr>
          <w:rFonts w:asciiTheme="majorHAnsi" w:hAnsiTheme="majorHAnsi"/>
          <w:sz w:val="22"/>
          <w:szCs w:val="22"/>
        </w:rPr>
        <w:t>section.</w:t>
      </w:r>
    </w:p>
    <w:p w14:paraId="55905256" w14:textId="743BDE2E" w:rsidR="00F3457A" w:rsidRPr="00E26279" w:rsidRDefault="00F3457A" w:rsidP="00E26279">
      <w:pPr>
        <w:pStyle w:val="BodyText"/>
        <w:jc w:val="both"/>
        <w:rPr>
          <w:rFonts w:asciiTheme="majorHAnsi" w:hAnsiTheme="majorHAnsi"/>
          <w:sz w:val="22"/>
          <w:szCs w:val="22"/>
        </w:rPr>
      </w:pPr>
      <w:r w:rsidRPr="00E26279">
        <w:rPr>
          <w:rFonts w:asciiTheme="majorHAnsi" w:hAnsiTheme="majorHAnsi"/>
          <w:sz w:val="22"/>
          <w:szCs w:val="22"/>
        </w:rPr>
        <w:t>The SGMA permits the election of ground</w:t>
      </w:r>
      <w:r w:rsidR="008204DD" w:rsidRPr="008204DD">
        <w:rPr>
          <w:rFonts w:asciiTheme="majorHAnsi" w:hAnsiTheme="majorHAnsi"/>
          <w:sz w:val="22"/>
          <w:szCs w:val="22"/>
        </w:rPr>
        <w:t>water sustainability agencies (GSA</w:t>
      </w:r>
      <w:r w:rsidRPr="00E26279">
        <w:rPr>
          <w:rFonts w:asciiTheme="majorHAnsi" w:hAnsiTheme="majorHAnsi"/>
          <w:sz w:val="22"/>
          <w:szCs w:val="22"/>
        </w:rPr>
        <w:t>) for all basins and requires the adoption of gro</w:t>
      </w:r>
      <w:r w:rsidR="008204DD" w:rsidRPr="008204DD">
        <w:rPr>
          <w:rFonts w:asciiTheme="majorHAnsi" w:hAnsiTheme="majorHAnsi"/>
          <w:sz w:val="22"/>
          <w:szCs w:val="22"/>
        </w:rPr>
        <w:t>undwater sustainability plans (Plan</w:t>
      </w:r>
      <w:r w:rsidRPr="00E26279">
        <w:rPr>
          <w:rFonts w:asciiTheme="majorHAnsi" w:hAnsiTheme="majorHAnsi"/>
          <w:sz w:val="22"/>
          <w:szCs w:val="22"/>
        </w:rPr>
        <w:t xml:space="preserve">) for basins designated as medium- or high-priority by the </w:t>
      </w:r>
      <w:r w:rsidR="008204DD" w:rsidRPr="008204DD">
        <w:rPr>
          <w:rFonts w:asciiTheme="majorHAnsi" w:hAnsiTheme="majorHAnsi"/>
          <w:sz w:val="22"/>
          <w:szCs w:val="22"/>
        </w:rPr>
        <w:t>DWR</w:t>
      </w:r>
      <w:r w:rsidRPr="00E26279">
        <w:rPr>
          <w:rFonts w:asciiTheme="majorHAnsi" w:hAnsiTheme="majorHAnsi"/>
          <w:sz w:val="22"/>
          <w:szCs w:val="22"/>
        </w:rPr>
        <w:t xml:space="preserve">. Plans must be developed to eliminate overdraft conditions in aquifers and to return them to a condition that assures their long-term sustainability within twenty years of Plan implementation. </w:t>
      </w:r>
    </w:p>
    <w:p w14:paraId="2F26B8BB" w14:textId="1D91B9CE" w:rsidR="00F3457A" w:rsidRPr="00E26279" w:rsidRDefault="00F3457A" w:rsidP="00E26279">
      <w:pPr>
        <w:pStyle w:val="BodyText"/>
        <w:jc w:val="both"/>
        <w:rPr>
          <w:rFonts w:asciiTheme="majorHAnsi" w:hAnsiTheme="majorHAnsi"/>
          <w:sz w:val="22"/>
          <w:szCs w:val="22"/>
        </w:rPr>
      </w:pPr>
      <w:r w:rsidRPr="00E26279">
        <w:rPr>
          <w:rFonts w:asciiTheme="majorHAnsi" w:hAnsiTheme="majorHAnsi"/>
          <w:sz w:val="22"/>
          <w:szCs w:val="22"/>
        </w:rPr>
        <w:t xml:space="preserve">The SGMA applies to all groundwater basins in the state but contains special requirements for basins or sub-basins that </w:t>
      </w:r>
      <w:r w:rsidR="008204DD">
        <w:rPr>
          <w:rFonts w:asciiTheme="majorHAnsi" w:hAnsiTheme="majorHAnsi"/>
          <w:sz w:val="22"/>
          <w:szCs w:val="22"/>
        </w:rPr>
        <w:t xml:space="preserve">the </w:t>
      </w:r>
      <w:r w:rsidRPr="00E26279">
        <w:rPr>
          <w:rFonts w:asciiTheme="majorHAnsi" w:hAnsiTheme="majorHAnsi"/>
          <w:sz w:val="22"/>
          <w:szCs w:val="22"/>
        </w:rPr>
        <w:t xml:space="preserve">DWR designates as medium- or high-priority basins. Under the SGMA, </w:t>
      </w:r>
      <w:r w:rsidR="008204DD">
        <w:rPr>
          <w:rFonts w:asciiTheme="majorHAnsi" w:hAnsiTheme="majorHAnsi"/>
          <w:sz w:val="22"/>
          <w:szCs w:val="22"/>
        </w:rPr>
        <w:t xml:space="preserve">the </w:t>
      </w:r>
      <w:r w:rsidRPr="00E26279">
        <w:rPr>
          <w:rFonts w:asciiTheme="majorHAnsi" w:hAnsiTheme="majorHAnsi"/>
          <w:sz w:val="22"/>
          <w:szCs w:val="22"/>
        </w:rPr>
        <w:t>DWR must rank each of the basins or sub-basins identified in its Bulletin 118 as either a</w:t>
      </w:r>
      <w:r w:rsidR="008204DD">
        <w:rPr>
          <w:rFonts w:asciiTheme="majorHAnsi" w:hAnsiTheme="majorHAnsi"/>
          <w:sz w:val="22"/>
          <w:szCs w:val="22"/>
        </w:rPr>
        <w:t>s</w:t>
      </w:r>
      <w:r w:rsidRPr="00E26279">
        <w:rPr>
          <w:rFonts w:asciiTheme="majorHAnsi" w:hAnsiTheme="majorHAnsi"/>
          <w:sz w:val="22"/>
          <w:szCs w:val="22"/>
        </w:rPr>
        <w:t xml:space="preserve"> very low-, low-, medium-, or high-priority basin</w:t>
      </w:r>
      <w:r w:rsidR="008204DD">
        <w:rPr>
          <w:rFonts w:asciiTheme="majorHAnsi" w:hAnsiTheme="majorHAnsi"/>
          <w:sz w:val="22"/>
          <w:szCs w:val="22"/>
        </w:rPr>
        <w:t>s</w:t>
      </w:r>
      <w:r w:rsidR="00DD0D1E">
        <w:rPr>
          <w:rFonts w:asciiTheme="majorHAnsi" w:hAnsiTheme="majorHAnsi"/>
          <w:sz w:val="22"/>
          <w:szCs w:val="22"/>
        </w:rPr>
        <w:t>,</w:t>
      </w:r>
      <w:r w:rsidRPr="00E26279">
        <w:rPr>
          <w:rFonts w:asciiTheme="majorHAnsi" w:hAnsiTheme="majorHAnsi"/>
          <w:sz w:val="22"/>
          <w:szCs w:val="22"/>
        </w:rPr>
        <w:t xml:space="preserve"> based on the threat to the basin’s integrity. </w:t>
      </w:r>
      <w:r w:rsidR="008204DD">
        <w:rPr>
          <w:rFonts w:asciiTheme="majorHAnsi" w:hAnsiTheme="majorHAnsi"/>
          <w:sz w:val="22"/>
          <w:szCs w:val="22"/>
        </w:rPr>
        <w:t xml:space="preserve">The </w:t>
      </w:r>
      <w:r w:rsidRPr="00E26279">
        <w:rPr>
          <w:rFonts w:asciiTheme="majorHAnsi" w:hAnsiTheme="majorHAnsi"/>
          <w:sz w:val="22"/>
          <w:szCs w:val="22"/>
        </w:rPr>
        <w:t xml:space="preserve">DWR completed its initial ranking </w:t>
      </w:r>
      <w:r w:rsidR="008204DD">
        <w:rPr>
          <w:rFonts w:asciiTheme="majorHAnsi" w:hAnsiTheme="majorHAnsi"/>
          <w:sz w:val="22"/>
          <w:szCs w:val="22"/>
        </w:rPr>
        <w:t>on</w:t>
      </w:r>
      <w:r w:rsidR="008204DD" w:rsidRPr="008204DD">
        <w:rPr>
          <w:rFonts w:asciiTheme="majorHAnsi" w:hAnsiTheme="majorHAnsi"/>
          <w:sz w:val="22"/>
          <w:szCs w:val="22"/>
        </w:rPr>
        <w:t xml:space="preserve"> January 31, 2015.</w:t>
      </w:r>
    </w:p>
    <w:p w14:paraId="6D957603" w14:textId="3B505C3F" w:rsidR="00F3457A" w:rsidRPr="00E26279" w:rsidRDefault="00DD0D1E" w:rsidP="00985A0E">
      <w:pPr>
        <w:pStyle w:val="BodyText"/>
        <w:jc w:val="both"/>
        <w:rPr>
          <w:rFonts w:asciiTheme="majorHAnsi" w:hAnsiTheme="majorHAnsi"/>
          <w:sz w:val="22"/>
          <w:szCs w:val="22"/>
        </w:rPr>
      </w:pPr>
      <w:r>
        <w:rPr>
          <w:rFonts w:asciiTheme="majorHAnsi" w:hAnsiTheme="majorHAnsi"/>
          <w:sz w:val="22"/>
          <w:szCs w:val="22"/>
        </w:rPr>
        <w:t>The i</w:t>
      </w:r>
      <w:r w:rsidRPr="00E26279">
        <w:rPr>
          <w:rFonts w:asciiTheme="majorHAnsi" w:hAnsiTheme="majorHAnsi"/>
          <w:sz w:val="22"/>
          <w:szCs w:val="22"/>
        </w:rPr>
        <w:t xml:space="preserve">mplication </w:t>
      </w:r>
      <w:r w:rsidR="00F3457A" w:rsidRPr="00E26279">
        <w:rPr>
          <w:rFonts w:asciiTheme="majorHAnsi" w:hAnsiTheme="majorHAnsi"/>
          <w:sz w:val="22"/>
          <w:szCs w:val="22"/>
        </w:rPr>
        <w:t xml:space="preserve">for the Agencies </w:t>
      </w:r>
      <w:r>
        <w:rPr>
          <w:rFonts w:asciiTheme="majorHAnsi" w:hAnsiTheme="majorHAnsi"/>
          <w:sz w:val="22"/>
          <w:szCs w:val="22"/>
        </w:rPr>
        <w:t>is that</w:t>
      </w:r>
      <w:r w:rsidRPr="00E26279">
        <w:rPr>
          <w:rFonts w:asciiTheme="majorHAnsi" w:hAnsiTheme="majorHAnsi"/>
          <w:sz w:val="22"/>
          <w:szCs w:val="22"/>
        </w:rPr>
        <w:t xml:space="preserve"> </w:t>
      </w:r>
      <w:r>
        <w:rPr>
          <w:rFonts w:asciiTheme="majorHAnsi" w:hAnsiTheme="majorHAnsi"/>
          <w:sz w:val="22"/>
          <w:szCs w:val="22"/>
        </w:rPr>
        <w:t>t</w:t>
      </w:r>
      <w:r w:rsidRPr="00E26279">
        <w:rPr>
          <w:rFonts w:asciiTheme="majorHAnsi" w:hAnsiTheme="majorHAnsi"/>
          <w:sz w:val="22"/>
          <w:szCs w:val="22"/>
        </w:rPr>
        <w:t xml:space="preserve">he </w:t>
      </w:r>
      <w:r w:rsidR="00F3457A" w:rsidRPr="00E26279">
        <w:rPr>
          <w:rFonts w:asciiTheme="majorHAnsi" w:hAnsiTheme="majorHAnsi"/>
          <w:sz w:val="22"/>
          <w:szCs w:val="22"/>
        </w:rPr>
        <w:t>Be</w:t>
      </w:r>
      <w:r w:rsidR="00E26279" w:rsidRPr="00E26279">
        <w:rPr>
          <w:rFonts w:asciiTheme="majorHAnsi" w:hAnsiTheme="majorHAnsi"/>
          <w:sz w:val="22"/>
          <w:szCs w:val="22"/>
        </w:rPr>
        <w:t xml:space="preserve">dford Basin is contained in </w:t>
      </w:r>
      <w:r w:rsidR="00E26279">
        <w:rPr>
          <w:rFonts w:asciiTheme="majorHAnsi" w:hAnsiTheme="majorHAnsi"/>
          <w:sz w:val="22"/>
          <w:szCs w:val="22"/>
        </w:rPr>
        <w:t xml:space="preserve">the Elsinore Groundwater </w:t>
      </w:r>
      <w:r w:rsidR="00F3457A" w:rsidRPr="00E26279">
        <w:rPr>
          <w:rFonts w:asciiTheme="majorHAnsi" w:hAnsiTheme="majorHAnsi"/>
          <w:sz w:val="22"/>
          <w:szCs w:val="22"/>
        </w:rPr>
        <w:t>Basin</w:t>
      </w:r>
      <w:r w:rsidR="00A037B8">
        <w:rPr>
          <w:rFonts w:asciiTheme="majorHAnsi" w:hAnsiTheme="majorHAnsi"/>
          <w:sz w:val="22"/>
          <w:szCs w:val="22"/>
        </w:rPr>
        <w:t>,</w:t>
      </w:r>
      <w:r w:rsidR="00F3457A" w:rsidRPr="00E26279">
        <w:rPr>
          <w:rFonts w:asciiTheme="majorHAnsi" w:hAnsiTheme="majorHAnsi"/>
          <w:sz w:val="22"/>
          <w:szCs w:val="22"/>
        </w:rPr>
        <w:t xml:space="preserve"> </w:t>
      </w:r>
      <w:r w:rsidR="00A037B8">
        <w:rPr>
          <w:rFonts w:asciiTheme="majorHAnsi" w:hAnsiTheme="majorHAnsi"/>
          <w:sz w:val="22"/>
          <w:szCs w:val="22"/>
        </w:rPr>
        <w:t>which</w:t>
      </w:r>
      <w:r w:rsidR="00A037B8" w:rsidRPr="00E26279">
        <w:rPr>
          <w:rFonts w:asciiTheme="majorHAnsi" w:hAnsiTheme="majorHAnsi"/>
          <w:sz w:val="22"/>
          <w:szCs w:val="22"/>
        </w:rPr>
        <w:t xml:space="preserve"> </w:t>
      </w:r>
      <w:r w:rsidR="00FE3806" w:rsidRPr="00E26279">
        <w:rPr>
          <w:rFonts w:asciiTheme="majorHAnsi" w:hAnsiTheme="majorHAnsi"/>
          <w:sz w:val="22"/>
          <w:szCs w:val="22"/>
        </w:rPr>
        <w:t>ha</w:t>
      </w:r>
      <w:r w:rsidR="00FE3806">
        <w:rPr>
          <w:rFonts w:asciiTheme="majorHAnsi" w:hAnsiTheme="majorHAnsi"/>
          <w:sz w:val="22"/>
          <w:szCs w:val="22"/>
        </w:rPr>
        <w:t>s</w:t>
      </w:r>
      <w:r w:rsidR="00FE3806" w:rsidRPr="00E26279">
        <w:rPr>
          <w:rFonts w:asciiTheme="majorHAnsi" w:hAnsiTheme="majorHAnsi"/>
          <w:sz w:val="22"/>
          <w:szCs w:val="22"/>
        </w:rPr>
        <w:t xml:space="preserve"> </w:t>
      </w:r>
      <w:r w:rsidR="00F3457A" w:rsidRPr="00E26279">
        <w:rPr>
          <w:rFonts w:asciiTheme="majorHAnsi" w:hAnsiTheme="majorHAnsi"/>
          <w:sz w:val="22"/>
          <w:szCs w:val="22"/>
        </w:rPr>
        <w:t xml:space="preserve">been identified by </w:t>
      </w:r>
      <w:r w:rsidR="008204DD">
        <w:rPr>
          <w:rFonts w:asciiTheme="majorHAnsi" w:hAnsiTheme="majorHAnsi"/>
          <w:sz w:val="22"/>
          <w:szCs w:val="22"/>
        </w:rPr>
        <w:t xml:space="preserve">the </w:t>
      </w:r>
      <w:r w:rsidR="00F3457A" w:rsidRPr="00E26279">
        <w:rPr>
          <w:rFonts w:asciiTheme="majorHAnsi" w:hAnsiTheme="majorHAnsi"/>
          <w:sz w:val="22"/>
          <w:szCs w:val="22"/>
        </w:rPr>
        <w:t xml:space="preserve">DWR as a high-priority basin and </w:t>
      </w:r>
      <w:r w:rsidR="00A037B8">
        <w:rPr>
          <w:rFonts w:asciiTheme="majorHAnsi" w:hAnsiTheme="majorHAnsi"/>
          <w:sz w:val="22"/>
          <w:szCs w:val="22"/>
        </w:rPr>
        <w:t xml:space="preserve">is </w:t>
      </w:r>
      <w:r w:rsidR="00F3457A" w:rsidRPr="00E26279">
        <w:rPr>
          <w:rFonts w:asciiTheme="majorHAnsi" w:hAnsiTheme="majorHAnsi"/>
          <w:sz w:val="22"/>
          <w:szCs w:val="22"/>
        </w:rPr>
        <w:t xml:space="preserve">therefore subject to the requirements of the SGMA. </w:t>
      </w:r>
      <w:r w:rsidR="00A037B8">
        <w:rPr>
          <w:rFonts w:asciiTheme="majorHAnsi" w:hAnsiTheme="majorHAnsi"/>
          <w:sz w:val="22"/>
          <w:szCs w:val="22"/>
        </w:rPr>
        <w:t>As such</w:t>
      </w:r>
      <w:r w:rsidR="008204DD">
        <w:rPr>
          <w:rFonts w:asciiTheme="majorHAnsi" w:hAnsiTheme="majorHAnsi"/>
          <w:sz w:val="22"/>
          <w:szCs w:val="22"/>
        </w:rPr>
        <w:t>,</w:t>
      </w:r>
      <w:r w:rsidR="00F3457A" w:rsidRPr="00E26279">
        <w:rPr>
          <w:rFonts w:asciiTheme="majorHAnsi" w:hAnsiTheme="majorHAnsi"/>
          <w:sz w:val="22"/>
          <w:szCs w:val="22"/>
        </w:rPr>
        <w:t xml:space="preserve"> future groundwater production will be limited to sustainable rates pursuant to a Plan to be developed by 2022.</w:t>
      </w:r>
    </w:p>
    <w:p w14:paraId="5998C699" w14:textId="77777777" w:rsidR="00F3457A" w:rsidRPr="00E26279" w:rsidRDefault="00F3457A" w:rsidP="00E26279">
      <w:pPr>
        <w:pStyle w:val="Heading3"/>
      </w:pPr>
      <w:bookmarkStart w:id="45" w:name="_Toc427921439"/>
      <w:r w:rsidRPr="00E26279">
        <w:t>Groundwater Sustainability Agencies</w:t>
      </w:r>
      <w:bookmarkEnd w:id="45"/>
    </w:p>
    <w:p w14:paraId="23A82355" w14:textId="42DC5DF0" w:rsidR="00F3457A" w:rsidRPr="00E26279" w:rsidRDefault="00F3457A" w:rsidP="00E26279">
      <w:pPr>
        <w:pStyle w:val="BodyText"/>
        <w:jc w:val="both"/>
        <w:rPr>
          <w:rFonts w:asciiTheme="majorHAnsi" w:hAnsiTheme="majorHAnsi"/>
          <w:sz w:val="22"/>
          <w:szCs w:val="22"/>
        </w:rPr>
      </w:pPr>
      <w:r w:rsidRPr="00E26279">
        <w:rPr>
          <w:rFonts w:asciiTheme="majorHAnsi" w:hAnsiTheme="majorHAnsi"/>
          <w:sz w:val="22"/>
          <w:szCs w:val="22"/>
        </w:rPr>
        <w:t>The SGMA permits the election of a GSA for any basin, but requires that a GSA be identified for all medium- and high-priority groundwater basins by June 30, 2017 or within two years from the date of reprioritization of a basin as medium- or high-priority. Counties will be presumed to be the GSA for all unmanaged basins. However, the county may decline this responsibility.</w:t>
      </w:r>
    </w:p>
    <w:p w14:paraId="78CCB47A" w14:textId="494DA5BF" w:rsidR="00F3457A" w:rsidRPr="00FE3806" w:rsidRDefault="00A037B8" w:rsidP="00E26279">
      <w:pPr>
        <w:pStyle w:val="BodyText"/>
        <w:jc w:val="both"/>
        <w:rPr>
          <w:rFonts w:asciiTheme="majorHAnsi" w:hAnsiTheme="majorHAnsi"/>
          <w:sz w:val="22"/>
          <w:szCs w:val="22"/>
        </w:rPr>
      </w:pPr>
      <w:r>
        <w:rPr>
          <w:rFonts w:asciiTheme="majorHAnsi" w:hAnsiTheme="majorHAnsi"/>
          <w:sz w:val="22"/>
          <w:szCs w:val="22"/>
        </w:rPr>
        <w:t>The i</w:t>
      </w:r>
      <w:r w:rsidRPr="00E26279">
        <w:rPr>
          <w:rFonts w:asciiTheme="majorHAnsi" w:hAnsiTheme="majorHAnsi"/>
          <w:sz w:val="22"/>
          <w:szCs w:val="22"/>
        </w:rPr>
        <w:t xml:space="preserve">mplication </w:t>
      </w:r>
      <w:r w:rsidR="00F3457A" w:rsidRPr="00E26279">
        <w:rPr>
          <w:rFonts w:asciiTheme="majorHAnsi" w:hAnsiTheme="majorHAnsi"/>
          <w:sz w:val="22"/>
          <w:szCs w:val="22"/>
        </w:rPr>
        <w:t xml:space="preserve">for the Agencies </w:t>
      </w:r>
      <w:r>
        <w:rPr>
          <w:rFonts w:asciiTheme="majorHAnsi" w:hAnsiTheme="majorHAnsi"/>
          <w:sz w:val="22"/>
          <w:szCs w:val="22"/>
        </w:rPr>
        <w:t>is that a</w:t>
      </w:r>
      <w:r w:rsidR="00F3457A" w:rsidRPr="00E26279">
        <w:rPr>
          <w:rFonts w:asciiTheme="majorHAnsi" w:hAnsiTheme="majorHAnsi"/>
          <w:sz w:val="22"/>
          <w:szCs w:val="22"/>
        </w:rPr>
        <w:t xml:space="preserve"> GSA must be formed for </w:t>
      </w:r>
      <w:r w:rsidR="008204DD">
        <w:rPr>
          <w:rFonts w:asciiTheme="majorHAnsi" w:hAnsiTheme="majorHAnsi"/>
          <w:sz w:val="22"/>
          <w:szCs w:val="22"/>
        </w:rPr>
        <w:t xml:space="preserve">the </w:t>
      </w:r>
      <w:r w:rsidR="00F3457A" w:rsidRPr="00E26279">
        <w:rPr>
          <w:rFonts w:asciiTheme="majorHAnsi" w:hAnsiTheme="majorHAnsi"/>
          <w:sz w:val="22"/>
          <w:szCs w:val="22"/>
        </w:rPr>
        <w:t>Bedford</w:t>
      </w:r>
      <w:r>
        <w:rPr>
          <w:rFonts w:asciiTheme="majorHAnsi" w:hAnsiTheme="majorHAnsi"/>
          <w:sz w:val="22"/>
          <w:szCs w:val="22"/>
        </w:rPr>
        <w:t xml:space="preserve"> Basin</w:t>
      </w:r>
      <w:r w:rsidR="00F3457A" w:rsidRPr="00E26279">
        <w:rPr>
          <w:rFonts w:asciiTheme="majorHAnsi" w:hAnsiTheme="majorHAnsi"/>
          <w:sz w:val="22"/>
          <w:szCs w:val="22"/>
        </w:rPr>
        <w:t xml:space="preserve"> and sur</w:t>
      </w:r>
      <w:r w:rsidR="008204DD" w:rsidRPr="008204DD">
        <w:rPr>
          <w:rFonts w:asciiTheme="majorHAnsi" w:hAnsiTheme="majorHAnsi"/>
          <w:sz w:val="22"/>
          <w:szCs w:val="22"/>
        </w:rPr>
        <w:t xml:space="preserve">rounding high-priority basins. </w:t>
      </w:r>
      <w:r w:rsidR="00F3457A" w:rsidRPr="00FE3806">
        <w:rPr>
          <w:rFonts w:asciiTheme="majorHAnsi" w:hAnsiTheme="majorHAnsi"/>
          <w:sz w:val="22"/>
          <w:szCs w:val="22"/>
        </w:rPr>
        <w:t>The Agencies need to determine their involvement in the GSA and potentially taking the lead in forming a GSA collectively.</w:t>
      </w:r>
    </w:p>
    <w:p w14:paraId="5DBD5A04" w14:textId="77777777" w:rsidR="00F3457A" w:rsidRPr="00FE3806" w:rsidRDefault="00F3457A" w:rsidP="00985A0E">
      <w:pPr>
        <w:pStyle w:val="BodyText"/>
        <w:jc w:val="both"/>
        <w:rPr>
          <w:rFonts w:asciiTheme="majorHAnsi" w:hAnsiTheme="majorHAnsi"/>
          <w:sz w:val="22"/>
          <w:szCs w:val="22"/>
        </w:rPr>
      </w:pPr>
      <w:r w:rsidRPr="00FE3806">
        <w:rPr>
          <w:rFonts w:asciiTheme="majorHAnsi" w:hAnsiTheme="majorHAnsi"/>
          <w:sz w:val="22"/>
          <w:szCs w:val="22"/>
        </w:rPr>
        <w:t>The SGMA significantly expands the powers of local agencies acting as GSAs, including authorizing the GSA to:</w:t>
      </w:r>
    </w:p>
    <w:p w14:paraId="44333E18" w14:textId="77777777"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Adopt rules, regulations, ordinances, and resolutions;</w:t>
      </w:r>
    </w:p>
    <w:p w14:paraId="7CE1F51C" w14:textId="77777777"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Conduct investigations of water rights;</w:t>
      </w:r>
    </w:p>
    <w:p w14:paraId="03851D93" w14:textId="77777777"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Require well registration;</w:t>
      </w:r>
    </w:p>
    <w:p w14:paraId="24CC412F" w14:textId="77777777"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Require well operators to measure and report extractions;</w:t>
      </w:r>
    </w:p>
    <w:p w14:paraId="4AED6511" w14:textId="3E4A4149"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Require reporting of diversions of surface</w:t>
      </w:r>
      <w:r w:rsidR="00086AD4">
        <w:rPr>
          <w:rFonts w:asciiTheme="majorHAnsi" w:hAnsiTheme="majorHAnsi"/>
          <w:sz w:val="22"/>
          <w:szCs w:val="22"/>
        </w:rPr>
        <w:t>-</w:t>
      </w:r>
      <w:r w:rsidRPr="00FE3806">
        <w:rPr>
          <w:rFonts w:asciiTheme="majorHAnsi" w:hAnsiTheme="majorHAnsi"/>
          <w:sz w:val="22"/>
          <w:szCs w:val="22"/>
        </w:rPr>
        <w:t>water to storage;</w:t>
      </w:r>
    </w:p>
    <w:p w14:paraId="104B1179" w14:textId="77777777"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Acquire property and water rights;</w:t>
      </w:r>
    </w:p>
    <w:p w14:paraId="2AEA0FB2" w14:textId="77777777"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Reclaim water;</w:t>
      </w:r>
    </w:p>
    <w:p w14:paraId="7068F71A" w14:textId="77777777"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Impose well spacing requirements;</w:t>
      </w:r>
    </w:p>
    <w:p w14:paraId="05DC9FAD" w14:textId="77777777"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Regulate groundwater extractions, including limiting or prohibiting groundwater production;</w:t>
      </w:r>
    </w:p>
    <w:p w14:paraId="7BE673A8" w14:textId="77777777"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Impose fees and assessments; and</w:t>
      </w:r>
    </w:p>
    <w:p w14:paraId="52EFDCA1" w14:textId="77777777" w:rsidR="00F3457A" w:rsidRPr="00FE3806" w:rsidRDefault="00F3457A" w:rsidP="00985A0E">
      <w:pPr>
        <w:pStyle w:val="BodyText"/>
        <w:numPr>
          <w:ilvl w:val="0"/>
          <w:numId w:val="42"/>
        </w:numPr>
        <w:rPr>
          <w:rFonts w:asciiTheme="majorHAnsi" w:hAnsiTheme="majorHAnsi"/>
          <w:sz w:val="22"/>
          <w:szCs w:val="22"/>
        </w:rPr>
      </w:pPr>
      <w:r w:rsidRPr="00FE3806">
        <w:rPr>
          <w:rFonts w:asciiTheme="majorHAnsi" w:hAnsiTheme="majorHAnsi"/>
          <w:sz w:val="22"/>
          <w:szCs w:val="22"/>
        </w:rPr>
        <w:t>Undertake enforcement actions for noncompliance.</w:t>
      </w:r>
    </w:p>
    <w:p w14:paraId="4FAB506C" w14:textId="78518CB9" w:rsidR="00F3457A" w:rsidRPr="00FE3806" w:rsidRDefault="00F3457A" w:rsidP="00985A0E">
      <w:pPr>
        <w:pStyle w:val="BodyText"/>
        <w:jc w:val="both"/>
        <w:rPr>
          <w:rFonts w:asciiTheme="majorHAnsi" w:hAnsiTheme="majorHAnsi"/>
          <w:sz w:val="22"/>
          <w:szCs w:val="22"/>
        </w:rPr>
      </w:pPr>
      <w:r w:rsidRPr="00FE3806">
        <w:rPr>
          <w:rFonts w:asciiTheme="majorHAnsi" w:hAnsiTheme="majorHAnsi"/>
          <w:sz w:val="22"/>
          <w:szCs w:val="22"/>
        </w:rPr>
        <w:t xml:space="preserve">Although the SGMA also allows GSAs to request that counties provide well construction applications for the GSA’s consideration and comment, counties maintain </w:t>
      </w:r>
      <w:r w:rsidR="00DF0624">
        <w:rPr>
          <w:rFonts w:asciiTheme="majorHAnsi" w:hAnsiTheme="majorHAnsi"/>
          <w:sz w:val="22"/>
          <w:szCs w:val="22"/>
        </w:rPr>
        <w:t xml:space="preserve">the </w:t>
      </w:r>
      <w:r w:rsidRPr="00FE3806">
        <w:rPr>
          <w:rFonts w:asciiTheme="majorHAnsi" w:hAnsiTheme="majorHAnsi"/>
          <w:sz w:val="22"/>
          <w:szCs w:val="22"/>
        </w:rPr>
        <w:t>well permitting authority. GSAs are not authorized to issue well construction permits unless that power is delegated to them from the county.</w:t>
      </w:r>
    </w:p>
    <w:p w14:paraId="7F15D672" w14:textId="77777777" w:rsidR="00F3457A" w:rsidRPr="00FE3806" w:rsidRDefault="00F3457A" w:rsidP="00FE3806">
      <w:pPr>
        <w:pStyle w:val="Heading3"/>
      </w:pPr>
      <w:bookmarkStart w:id="46" w:name="_Toc427921440"/>
      <w:r w:rsidRPr="00FE3806">
        <w:t>Groundwater Sustainability Plans</w:t>
      </w:r>
      <w:bookmarkEnd w:id="46"/>
    </w:p>
    <w:p w14:paraId="7C563186" w14:textId="41B769E8" w:rsidR="00F3457A" w:rsidRPr="00FE3806" w:rsidRDefault="00F3457A" w:rsidP="00FE3806">
      <w:pPr>
        <w:pStyle w:val="BodyText"/>
        <w:jc w:val="both"/>
        <w:rPr>
          <w:rFonts w:asciiTheme="majorHAnsi" w:hAnsiTheme="majorHAnsi"/>
          <w:sz w:val="22"/>
          <w:szCs w:val="22"/>
        </w:rPr>
      </w:pPr>
      <w:r w:rsidRPr="00FE3806">
        <w:rPr>
          <w:rFonts w:asciiTheme="majorHAnsi" w:hAnsiTheme="majorHAnsi"/>
          <w:sz w:val="22"/>
          <w:szCs w:val="22"/>
        </w:rPr>
        <w:t xml:space="preserve">The SGMA requires GSAs for all medium- and high-priority basins to adopt a </w:t>
      </w:r>
      <w:r w:rsidR="000202E2">
        <w:rPr>
          <w:rFonts w:asciiTheme="majorHAnsi" w:hAnsiTheme="majorHAnsi"/>
          <w:sz w:val="22"/>
          <w:szCs w:val="22"/>
        </w:rPr>
        <w:t>Plan</w:t>
      </w:r>
      <w:r w:rsidRPr="00FE3806">
        <w:rPr>
          <w:rFonts w:asciiTheme="majorHAnsi" w:hAnsiTheme="majorHAnsi"/>
          <w:sz w:val="22"/>
          <w:szCs w:val="22"/>
        </w:rPr>
        <w:t xml:space="preserve">, or an alternative that complies with the SGMA, by January 31, 2022. For basins subject to critical overdraft conditions, the Plan must be adopted by January 31, 2020. </w:t>
      </w:r>
      <w:r w:rsidRPr="00FE3806">
        <w:rPr>
          <w:rFonts w:asciiTheme="majorHAnsi" w:hAnsiTheme="majorHAnsi"/>
          <w:bCs/>
          <w:sz w:val="22"/>
          <w:szCs w:val="22"/>
        </w:rPr>
        <w:t>The</w:t>
      </w:r>
      <w:r w:rsidRPr="00FE3806">
        <w:rPr>
          <w:rFonts w:asciiTheme="majorHAnsi" w:hAnsiTheme="majorHAnsi"/>
          <w:sz w:val="22"/>
          <w:szCs w:val="22"/>
        </w:rPr>
        <w:t xml:space="preserve"> principal goal of the SGMA is to ensure that all basins are sustainably managed to avoid undesirable results, which are defined as follows:</w:t>
      </w:r>
    </w:p>
    <w:p w14:paraId="11B6D36D" w14:textId="77777777" w:rsidR="00F3457A" w:rsidRPr="00FE3806" w:rsidRDefault="00F3457A" w:rsidP="00985A0E">
      <w:pPr>
        <w:pStyle w:val="BodyText"/>
        <w:numPr>
          <w:ilvl w:val="0"/>
          <w:numId w:val="40"/>
        </w:numPr>
        <w:rPr>
          <w:rFonts w:asciiTheme="majorHAnsi" w:hAnsiTheme="majorHAnsi"/>
          <w:sz w:val="22"/>
          <w:szCs w:val="22"/>
        </w:rPr>
      </w:pPr>
      <w:r w:rsidRPr="00FE3806">
        <w:rPr>
          <w:rFonts w:asciiTheme="majorHAnsi" w:hAnsiTheme="majorHAnsi"/>
          <w:sz w:val="22"/>
          <w:szCs w:val="22"/>
        </w:rPr>
        <w:t>Chronic lowering of groundwater levels indicating a significant and unreasonable depletion of supply;</w:t>
      </w:r>
    </w:p>
    <w:p w14:paraId="2DD9A5BC" w14:textId="77777777" w:rsidR="00F3457A" w:rsidRPr="00FE3806" w:rsidRDefault="00F3457A" w:rsidP="00985A0E">
      <w:pPr>
        <w:pStyle w:val="BodyText"/>
        <w:numPr>
          <w:ilvl w:val="0"/>
          <w:numId w:val="40"/>
        </w:numPr>
        <w:rPr>
          <w:rFonts w:asciiTheme="majorHAnsi" w:hAnsiTheme="majorHAnsi"/>
          <w:sz w:val="22"/>
          <w:szCs w:val="22"/>
        </w:rPr>
      </w:pPr>
      <w:r w:rsidRPr="00FE3806">
        <w:rPr>
          <w:rFonts w:asciiTheme="majorHAnsi" w:hAnsiTheme="majorHAnsi"/>
          <w:sz w:val="22"/>
          <w:szCs w:val="22"/>
        </w:rPr>
        <w:t>Significant and unreasonable reduction of groundwater storage;</w:t>
      </w:r>
    </w:p>
    <w:p w14:paraId="11B7EC6D" w14:textId="77777777" w:rsidR="00F3457A" w:rsidRPr="00FE3806" w:rsidRDefault="00F3457A" w:rsidP="00985A0E">
      <w:pPr>
        <w:pStyle w:val="BodyText"/>
        <w:numPr>
          <w:ilvl w:val="0"/>
          <w:numId w:val="40"/>
        </w:numPr>
        <w:rPr>
          <w:rFonts w:asciiTheme="majorHAnsi" w:hAnsiTheme="majorHAnsi"/>
          <w:sz w:val="22"/>
          <w:szCs w:val="22"/>
        </w:rPr>
      </w:pPr>
      <w:r w:rsidRPr="00FE3806">
        <w:rPr>
          <w:rFonts w:asciiTheme="majorHAnsi" w:hAnsiTheme="majorHAnsi"/>
          <w:sz w:val="22"/>
          <w:szCs w:val="22"/>
        </w:rPr>
        <w:t>Significant and unreasonable seawater intrusion;</w:t>
      </w:r>
    </w:p>
    <w:p w14:paraId="57F5BDE1" w14:textId="77777777" w:rsidR="00F3457A" w:rsidRPr="00FE3806" w:rsidRDefault="00F3457A" w:rsidP="00985A0E">
      <w:pPr>
        <w:pStyle w:val="BodyText"/>
        <w:numPr>
          <w:ilvl w:val="0"/>
          <w:numId w:val="40"/>
        </w:numPr>
        <w:rPr>
          <w:rFonts w:asciiTheme="majorHAnsi" w:hAnsiTheme="majorHAnsi"/>
          <w:sz w:val="22"/>
          <w:szCs w:val="22"/>
        </w:rPr>
      </w:pPr>
      <w:r w:rsidRPr="00FE3806">
        <w:rPr>
          <w:rFonts w:asciiTheme="majorHAnsi" w:hAnsiTheme="majorHAnsi"/>
          <w:sz w:val="22"/>
          <w:szCs w:val="22"/>
        </w:rPr>
        <w:t>Significant and unreasonable degraded water quality, including the migration of contaminant plumes that impair water supplies;</w:t>
      </w:r>
    </w:p>
    <w:p w14:paraId="098247FE" w14:textId="77777777" w:rsidR="00F3457A" w:rsidRPr="00FE3806" w:rsidRDefault="00F3457A" w:rsidP="000202E2">
      <w:pPr>
        <w:pStyle w:val="BodyText"/>
        <w:numPr>
          <w:ilvl w:val="0"/>
          <w:numId w:val="40"/>
        </w:numPr>
        <w:rPr>
          <w:rFonts w:asciiTheme="majorHAnsi" w:hAnsiTheme="majorHAnsi"/>
          <w:sz w:val="22"/>
          <w:szCs w:val="22"/>
        </w:rPr>
      </w:pPr>
      <w:r w:rsidRPr="00FE3806">
        <w:rPr>
          <w:rFonts w:asciiTheme="majorHAnsi" w:hAnsiTheme="majorHAnsi"/>
          <w:sz w:val="22"/>
          <w:szCs w:val="22"/>
        </w:rPr>
        <w:t>Significant and unreasonable land subsidence that substantially interferes with surface land uses; and/or</w:t>
      </w:r>
    </w:p>
    <w:p w14:paraId="66109A49" w14:textId="77777777" w:rsidR="00F3457A" w:rsidRPr="00FE3806" w:rsidRDefault="00F3457A" w:rsidP="000202E2">
      <w:pPr>
        <w:pStyle w:val="BodyText"/>
        <w:numPr>
          <w:ilvl w:val="0"/>
          <w:numId w:val="40"/>
        </w:numPr>
        <w:rPr>
          <w:rFonts w:asciiTheme="majorHAnsi" w:hAnsiTheme="majorHAnsi"/>
          <w:sz w:val="22"/>
          <w:szCs w:val="22"/>
        </w:rPr>
      </w:pPr>
      <w:r w:rsidRPr="00FE3806">
        <w:rPr>
          <w:rFonts w:asciiTheme="majorHAnsi" w:hAnsiTheme="majorHAnsi"/>
          <w:sz w:val="22"/>
          <w:szCs w:val="22"/>
        </w:rPr>
        <w:t>Surface water depletions that have significant and unreasonable adverse impacts on beneficial uses of surface water.</w:t>
      </w:r>
    </w:p>
    <w:p w14:paraId="5209A846" w14:textId="77777777" w:rsidR="00F3457A" w:rsidRPr="00FE3806" w:rsidRDefault="00F3457A" w:rsidP="000202E2">
      <w:pPr>
        <w:pStyle w:val="BodyText"/>
        <w:rPr>
          <w:rFonts w:asciiTheme="majorHAnsi" w:hAnsiTheme="majorHAnsi"/>
          <w:sz w:val="22"/>
          <w:szCs w:val="22"/>
        </w:rPr>
      </w:pPr>
      <w:r w:rsidRPr="00FE3806">
        <w:rPr>
          <w:rFonts w:asciiTheme="majorHAnsi" w:hAnsiTheme="majorHAnsi"/>
          <w:sz w:val="22"/>
          <w:szCs w:val="22"/>
        </w:rPr>
        <w:t xml:space="preserve">Accordingly, Plans must include: </w:t>
      </w:r>
    </w:p>
    <w:p w14:paraId="57895C58" w14:textId="356FEEEE" w:rsidR="00F3457A" w:rsidRPr="00FE3806" w:rsidRDefault="00F3457A" w:rsidP="000202E2">
      <w:pPr>
        <w:pStyle w:val="BodyText"/>
        <w:numPr>
          <w:ilvl w:val="0"/>
          <w:numId w:val="43"/>
        </w:numPr>
        <w:rPr>
          <w:rFonts w:asciiTheme="majorHAnsi" w:hAnsiTheme="majorHAnsi"/>
          <w:sz w:val="22"/>
          <w:szCs w:val="22"/>
        </w:rPr>
      </w:pPr>
      <w:r w:rsidRPr="00FE3806">
        <w:rPr>
          <w:rFonts w:asciiTheme="majorHAnsi" w:hAnsiTheme="majorHAnsi"/>
          <w:sz w:val="22"/>
          <w:szCs w:val="22"/>
        </w:rPr>
        <w:t>L</w:t>
      </w:r>
      <w:r w:rsidR="00DF0624" w:rsidRPr="00DF0624">
        <w:rPr>
          <w:rFonts w:asciiTheme="majorHAnsi" w:hAnsiTheme="majorHAnsi"/>
          <w:sz w:val="22"/>
          <w:szCs w:val="22"/>
        </w:rPr>
        <w:t>ong-term planning goals</w:t>
      </w:r>
    </w:p>
    <w:p w14:paraId="4BA890C8" w14:textId="472C57CA" w:rsidR="00F3457A" w:rsidRPr="00FE3806" w:rsidRDefault="00F3457A" w:rsidP="00D800BF">
      <w:pPr>
        <w:pStyle w:val="BodyText"/>
        <w:numPr>
          <w:ilvl w:val="0"/>
          <w:numId w:val="43"/>
        </w:numPr>
        <w:rPr>
          <w:rFonts w:asciiTheme="majorHAnsi" w:hAnsiTheme="majorHAnsi"/>
          <w:sz w:val="22"/>
          <w:szCs w:val="22"/>
        </w:rPr>
      </w:pPr>
      <w:r w:rsidRPr="00FE3806">
        <w:rPr>
          <w:rFonts w:asciiTheme="majorHAnsi" w:hAnsiTheme="majorHAnsi"/>
          <w:sz w:val="22"/>
          <w:szCs w:val="22"/>
        </w:rPr>
        <w:t>Measurable objectives and interim milestones in increments of five years that are designed to achieve the basin’s sustainability goal within twenty years of Plan implementation</w:t>
      </w:r>
    </w:p>
    <w:p w14:paraId="25D9F952" w14:textId="15EEFC7F" w:rsidR="00D9695F" w:rsidRPr="00FE3806" w:rsidRDefault="00C72AF1" w:rsidP="00FC5E72">
      <w:pPr>
        <w:pStyle w:val="BodyText"/>
        <w:jc w:val="both"/>
        <w:rPr>
          <w:rFonts w:asciiTheme="majorHAnsi" w:hAnsiTheme="majorHAnsi"/>
          <w:sz w:val="22"/>
          <w:szCs w:val="22"/>
        </w:rPr>
      </w:pPr>
      <w:r>
        <w:rPr>
          <w:rFonts w:asciiTheme="majorHAnsi" w:hAnsiTheme="majorHAnsi"/>
          <w:sz w:val="22"/>
          <w:szCs w:val="22"/>
        </w:rPr>
        <w:t>The i</w:t>
      </w:r>
      <w:r w:rsidRPr="00FE3806">
        <w:rPr>
          <w:rFonts w:asciiTheme="majorHAnsi" w:hAnsiTheme="majorHAnsi"/>
          <w:sz w:val="22"/>
          <w:szCs w:val="22"/>
        </w:rPr>
        <w:t xml:space="preserve">mplication </w:t>
      </w:r>
      <w:r w:rsidR="00D9695F" w:rsidRPr="00FE3806">
        <w:rPr>
          <w:rFonts w:asciiTheme="majorHAnsi" w:hAnsiTheme="majorHAnsi"/>
          <w:sz w:val="22"/>
          <w:szCs w:val="22"/>
        </w:rPr>
        <w:t>for the Agencies</w:t>
      </w:r>
      <w:r>
        <w:rPr>
          <w:rFonts w:asciiTheme="majorHAnsi" w:hAnsiTheme="majorHAnsi"/>
          <w:sz w:val="22"/>
          <w:szCs w:val="22"/>
        </w:rPr>
        <w:t>,</w:t>
      </w:r>
      <w:r w:rsidR="00D9695F" w:rsidRPr="00FE3806">
        <w:rPr>
          <w:rFonts w:asciiTheme="majorHAnsi" w:hAnsiTheme="majorHAnsi"/>
          <w:sz w:val="22"/>
          <w:szCs w:val="22"/>
        </w:rPr>
        <w:t xml:space="preserve"> </w:t>
      </w:r>
      <w:r>
        <w:rPr>
          <w:rFonts w:asciiTheme="majorHAnsi" w:hAnsiTheme="majorHAnsi"/>
          <w:sz w:val="22"/>
          <w:szCs w:val="22"/>
        </w:rPr>
        <w:t>a</w:t>
      </w:r>
      <w:r w:rsidRPr="00FE3806">
        <w:rPr>
          <w:rFonts w:asciiTheme="majorHAnsi" w:hAnsiTheme="majorHAnsi"/>
          <w:sz w:val="22"/>
          <w:szCs w:val="22"/>
        </w:rPr>
        <w:t xml:space="preserve">s </w:t>
      </w:r>
      <w:r w:rsidR="00D9695F" w:rsidRPr="00FE3806">
        <w:rPr>
          <w:rFonts w:asciiTheme="majorHAnsi" w:hAnsiTheme="majorHAnsi"/>
          <w:sz w:val="22"/>
          <w:szCs w:val="22"/>
        </w:rPr>
        <w:t xml:space="preserve">to items 1 and 2 above, </w:t>
      </w:r>
      <w:r>
        <w:rPr>
          <w:rFonts w:asciiTheme="majorHAnsi" w:hAnsiTheme="majorHAnsi"/>
          <w:sz w:val="22"/>
          <w:szCs w:val="22"/>
        </w:rPr>
        <w:t xml:space="preserve">is that </w:t>
      </w:r>
      <w:r w:rsidR="00D9695F" w:rsidRPr="00FE3806">
        <w:rPr>
          <w:rFonts w:asciiTheme="majorHAnsi" w:hAnsiTheme="majorHAnsi"/>
          <w:sz w:val="22"/>
          <w:szCs w:val="22"/>
        </w:rPr>
        <w:t xml:space="preserve">maximizing the yield of the Bedford Basin will require operating the basin at high and low storage levels. As long as it </w:t>
      </w:r>
      <w:r>
        <w:rPr>
          <w:rFonts w:asciiTheme="majorHAnsi" w:hAnsiTheme="majorHAnsi"/>
          <w:sz w:val="22"/>
          <w:szCs w:val="22"/>
        </w:rPr>
        <w:t xml:space="preserve">only </w:t>
      </w:r>
      <w:r w:rsidR="00D9695F" w:rsidRPr="00FE3806">
        <w:rPr>
          <w:rFonts w:asciiTheme="majorHAnsi" w:hAnsiTheme="majorHAnsi"/>
          <w:sz w:val="22"/>
          <w:szCs w:val="22"/>
        </w:rPr>
        <w:t xml:space="preserve">affects the levels in the </w:t>
      </w:r>
      <w:r>
        <w:rPr>
          <w:rFonts w:asciiTheme="majorHAnsi" w:hAnsiTheme="majorHAnsi"/>
          <w:sz w:val="22"/>
          <w:szCs w:val="22"/>
        </w:rPr>
        <w:t xml:space="preserve">Agencies’ </w:t>
      </w:r>
      <w:r w:rsidR="00D9695F" w:rsidRPr="00FE3806">
        <w:rPr>
          <w:rFonts w:asciiTheme="majorHAnsi" w:hAnsiTheme="majorHAnsi"/>
          <w:sz w:val="22"/>
          <w:szCs w:val="22"/>
        </w:rPr>
        <w:t>wells</w:t>
      </w:r>
      <w:r>
        <w:rPr>
          <w:rFonts w:asciiTheme="majorHAnsi" w:hAnsiTheme="majorHAnsi"/>
          <w:sz w:val="22"/>
          <w:szCs w:val="22"/>
        </w:rPr>
        <w:t>,</w:t>
      </w:r>
      <w:r w:rsidR="00D9695F" w:rsidRPr="00FE3806">
        <w:rPr>
          <w:rFonts w:asciiTheme="majorHAnsi" w:hAnsiTheme="majorHAnsi"/>
          <w:sz w:val="22"/>
          <w:szCs w:val="22"/>
        </w:rPr>
        <w:t xml:space="preserve"> </w:t>
      </w:r>
      <w:r>
        <w:rPr>
          <w:rFonts w:asciiTheme="majorHAnsi" w:hAnsiTheme="majorHAnsi"/>
          <w:sz w:val="22"/>
          <w:szCs w:val="22"/>
        </w:rPr>
        <w:t>this</w:t>
      </w:r>
      <w:r w:rsidRPr="00FE3806">
        <w:rPr>
          <w:rFonts w:asciiTheme="majorHAnsi" w:hAnsiTheme="majorHAnsi"/>
          <w:sz w:val="22"/>
          <w:szCs w:val="22"/>
        </w:rPr>
        <w:t xml:space="preserve"> </w:t>
      </w:r>
      <w:r w:rsidR="00D9695F" w:rsidRPr="00FE3806">
        <w:rPr>
          <w:rFonts w:asciiTheme="majorHAnsi" w:hAnsiTheme="majorHAnsi"/>
          <w:sz w:val="22"/>
          <w:szCs w:val="22"/>
        </w:rPr>
        <w:t xml:space="preserve">should not be an issue to the GSA. Items 3, 4, and 5 should not be issues to the Agencies. Item 6 </w:t>
      </w:r>
      <w:r w:rsidR="00D9695F">
        <w:rPr>
          <w:rFonts w:asciiTheme="majorHAnsi" w:hAnsiTheme="majorHAnsi"/>
          <w:sz w:val="22"/>
          <w:szCs w:val="22"/>
        </w:rPr>
        <w:t>could be</w:t>
      </w:r>
      <w:r w:rsidR="00D9695F" w:rsidRPr="00FE3806">
        <w:rPr>
          <w:rFonts w:asciiTheme="majorHAnsi" w:hAnsiTheme="majorHAnsi"/>
          <w:sz w:val="22"/>
          <w:szCs w:val="22"/>
        </w:rPr>
        <w:t xml:space="preserve"> problematic as operating the basin for maximum yield may impact the riparian vegetation</w:t>
      </w:r>
      <w:r w:rsidR="00D9695F">
        <w:rPr>
          <w:rFonts w:asciiTheme="majorHAnsi" w:hAnsiTheme="majorHAnsi"/>
          <w:sz w:val="22"/>
          <w:szCs w:val="22"/>
        </w:rPr>
        <w:t xml:space="preserve"> and require mitigation</w:t>
      </w:r>
      <w:r w:rsidR="00D9695F" w:rsidRPr="00FE3806">
        <w:rPr>
          <w:rFonts w:asciiTheme="majorHAnsi" w:hAnsiTheme="majorHAnsi"/>
          <w:sz w:val="22"/>
          <w:szCs w:val="22"/>
        </w:rPr>
        <w:t>.</w:t>
      </w:r>
    </w:p>
    <w:p w14:paraId="1F88C80B" w14:textId="3E5C29B5" w:rsidR="00F3457A" w:rsidRPr="00FE3806" w:rsidRDefault="00F3457A" w:rsidP="00FE3806">
      <w:pPr>
        <w:pStyle w:val="BodyText"/>
        <w:jc w:val="both"/>
        <w:rPr>
          <w:rFonts w:asciiTheme="majorHAnsi" w:hAnsiTheme="majorHAnsi"/>
          <w:sz w:val="22"/>
          <w:szCs w:val="22"/>
        </w:rPr>
      </w:pPr>
      <w:r w:rsidRPr="00FE3806">
        <w:rPr>
          <w:rFonts w:asciiTheme="majorHAnsi" w:hAnsiTheme="majorHAnsi"/>
          <w:sz w:val="22"/>
          <w:szCs w:val="22"/>
        </w:rPr>
        <w:t>The SGMA provides a list of additional required components, many of which are similar t</w:t>
      </w:r>
      <w:r w:rsidR="00DF0624" w:rsidRPr="00DF0624">
        <w:rPr>
          <w:rFonts w:asciiTheme="majorHAnsi" w:hAnsiTheme="majorHAnsi"/>
          <w:sz w:val="22"/>
          <w:szCs w:val="22"/>
        </w:rPr>
        <w:t>o the current requirements for AB 3030</w:t>
      </w:r>
      <w:r w:rsidRPr="00FE3806">
        <w:rPr>
          <w:rFonts w:asciiTheme="majorHAnsi" w:hAnsiTheme="majorHAnsi"/>
          <w:sz w:val="22"/>
          <w:szCs w:val="22"/>
        </w:rPr>
        <w:t xml:space="preserve"> or groundwater management plans. These are listed in Appendix </w:t>
      </w:r>
      <w:r w:rsidR="00FE3806">
        <w:rPr>
          <w:rFonts w:asciiTheme="majorHAnsi" w:hAnsiTheme="majorHAnsi"/>
          <w:sz w:val="22"/>
          <w:szCs w:val="22"/>
        </w:rPr>
        <w:t>B</w:t>
      </w:r>
      <w:r w:rsidR="008D4397">
        <w:rPr>
          <w:rFonts w:asciiTheme="majorHAnsi" w:hAnsiTheme="majorHAnsi"/>
          <w:sz w:val="22"/>
          <w:szCs w:val="22"/>
        </w:rPr>
        <w:t xml:space="preserve">, which </w:t>
      </w:r>
      <w:r w:rsidRPr="00FE3806">
        <w:rPr>
          <w:rFonts w:asciiTheme="majorHAnsi" w:hAnsiTheme="majorHAnsi"/>
          <w:sz w:val="22"/>
          <w:szCs w:val="22"/>
        </w:rPr>
        <w:t>contains a table that compares the requirements of the SGMA and AB 3030.</w:t>
      </w:r>
    </w:p>
    <w:p w14:paraId="07D1A289" w14:textId="3466C1B3" w:rsidR="00F3457A" w:rsidRPr="00FE3806" w:rsidRDefault="00F3457A" w:rsidP="00FE3806">
      <w:pPr>
        <w:pStyle w:val="BodyText"/>
        <w:jc w:val="both"/>
        <w:rPr>
          <w:rFonts w:asciiTheme="majorHAnsi" w:hAnsiTheme="majorHAnsi"/>
          <w:sz w:val="22"/>
          <w:szCs w:val="22"/>
        </w:rPr>
      </w:pPr>
      <w:r w:rsidRPr="00FE3806">
        <w:rPr>
          <w:rFonts w:asciiTheme="majorHAnsi" w:hAnsiTheme="majorHAnsi"/>
          <w:sz w:val="22"/>
          <w:szCs w:val="22"/>
        </w:rPr>
        <w:t xml:space="preserve">Other provisions of the new law require coordination between land use planning agencies and GSAs. Prior to the adoption or substantial amendment of a general plan, the land planning agency is required to review and consider a </w:t>
      </w:r>
      <w:r w:rsidR="000202E2">
        <w:rPr>
          <w:rFonts w:asciiTheme="majorHAnsi" w:hAnsiTheme="majorHAnsi"/>
          <w:sz w:val="22"/>
          <w:szCs w:val="22"/>
        </w:rPr>
        <w:t>p</w:t>
      </w:r>
      <w:r w:rsidR="000202E2" w:rsidRPr="00FE3806">
        <w:rPr>
          <w:rFonts w:asciiTheme="majorHAnsi" w:hAnsiTheme="majorHAnsi"/>
          <w:sz w:val="22"/>
          <w:szCs w:val="22"/>
        </w:rPr>
        <w:t xml:space="preserve">lan </w:t>
      </w:r>
      <w:r w:rsidRPr="00FE3806">
        <w:rPr>
          <w:rFonts w:asciiTheme="majorHAnsi" w:hAnsiTheme="majorHAnsi"/>
          <w:sz w:val="22"/>
          <w:szCs w:val="22"/>
        </w:rPr>
        <w:t>and to refer a proposed action to adopt or substantially amend a general plan to any local GSA for review. As part of this process, a GSA is required to provide the local land planning agency with the anticipated effects of a proposed action to adopt or substantially amend a general plan on the implementation of the Plan.</w:t>
      </w:r>
    </w:p>
    <w:p w14:paraId="2CB7F111" w14:textId="341E9C11" w:rsidR="00F3457A" w:rsidRPr="00FE3806" w:rsidRDefault="00F3457A" w:rsidP="00FE3806">
      <w:pPr>
        <w:pStyle w:val="BodyText"/>
        <w:jc w:val="both"/>
        <w:rPr>
          <w:rFonts w:asciiTheme="majorHAnsi" w:hAnsiTheme="majorHAnsi"/>
          <w:sz w:val="22"/>
          <w:szCs w:val="22"/>
        </w:rPr>
      </w:pPr>
      <w:r w:rsidRPr="00FE3806">
        <w:rPr>
          <w:rFonts w:asciiTheme="majorHAnsi" w:hAnsiTheme="majorHAnsi"/>
          <w:sz w:val="22"/>
          <w:szCs w:val="22"/>
        </w:rPr>
        <w:t xml:space="preserve">Upon </w:t>
      </w:r>
      <w:r w:rsidR="00F90F93">
        <w:rPr>
          <w:rFonts w:asciiTheme="majorHAnsi" w:hAnsiTheme="majorHAnsi"/>
          <w:sz w:val="22"/>
          <w:szCs w:val="22"/>
        </w:rPr>
        <w:t xml:space="preserve">the </w:t>
      </w:r>
      <w:r w:rsidRPr="00FE3806">
        <w:rPr>
          <w:rFonts w:asciiTheme="majorHAnsi" w:hAnsiTheme="majorHAnsi"/>
          <w:sz w:val="22"/>
          <w:szCs w:val="22"/>
        </w:rPr>
        <w:t xml:space="preserve">adoption of a Plan, the designated GSA must submit the Plan for DWR review. The SGMA gives </w:t>
      </w:r>
      <w:r w:rsidR="00DF0624">
        <w:rPr>
          <w:rFonts w:asciiTheme="majorHAnsi" w:hAnsiTheme="majorHAnsi"/>
          <w:sz w:val="22"/>
          <w:szCs w:val="22"/>
        </w:rPr>
        <w:t xml:space="preserve">the </w:t>
      </w:r>
      <w:r w:rsidRPr="00FE3806">
        <w:rPr>
          <w:rFonts w:asciiTheme="majorHAnsi" w:hAnsiTheme="majorHAnsi"/>
          <w:sz w:val="22"/>
          <w:szCs w:val="22"/>
        </w:rPr>
        <w:t xml:space="preserve">DWR until June 1, 2016 to develop regulations for evaluating Plans. Upon </w:t>
      </w:r>
      <w:r w:rsidR="00F90F93" w:rsidRPr="00FE3806">
        <w:rPr>
          <w:rFonts w:asciiTheme="majorHAnsi" w:hAnsiTheme="majorHAnsi"/>
          <w:sz w:val="22"/>
          <w:szCs w:val="22"/>
        </w:rPr>
        <w:t>complet</w:t>
      </w:r>
      <w:r w:rsidR="00F90F93">
        <w:rPr>
          <w:rFonts w:asciiTheme="majorHAnsi" w:hAnsiTheme="majorHAnsi"/>
          <w:sz w:val="22"/>
          <w:szCs w:val="22"/>
        </w:rPr>
        <w:t>ing</w:t>
      </w:r>
      <w:r w:rsidR="00F90F93" w:rsidRPr="00FE3806">
        <w:rPr>
          <w:rFonts w:asciiTheme="majorHAnsi" w:hAnsiTheme="majorHAnsi"/>
          <w:sz w:val="22"/>
          <w:szCs w:val="22"/>
        </w:rPr>
        <w:t xml:space="preserve"> </w:t>
      </w:r>
      <w:r w:rsidRPr="00FE3806">
        <w:rPr>
          <w:rFonts w:asciiTheme="majorHAnsi" w:hAnsiTheme="majorHAnsi"/>
          <w:sz w:val="22"/>
          <w:szCs w:val="22"/>
        </w:rPr>
        <w:t xml:space="preserve">its review of a Plan, </w:t>
      </w:r>
      <w:r w:rsidR="00DF0624">
        <w:rPr>
          <w:rFonts w:asciiTheme="majorHAnsi" w:hAnsiTheme="majorHAnsi"/>
          <w:sz w:val="22"/>
          <w:szCs w:val="22"/>
        </w:rPr>
        <w:t xml:space="preserve">the </w:t>
      </w:r>
      <w:r w:rsidRPr="00FE3806">
        <w:rPr>
          <w:rFonts w:asciiTheme="majorHAnsi" w:hAnsiTheme="majorHAnsi"/>
          <w:sz w:val="22"/>
          <w:szCs w:val="22"/>
        </w:rPr>
        <w:t xml:space="preserve">DWR has the power to request changes to the Plan in order to address deficiencies. DWR is required to re-evaluate Plans every five years to ensure continued compliance and sufficiency. After </w:t>
      </w:r>
      <w:r w:rsidR="00F90F93">
        <w:rPr>
          <w:rFonts w:asciiTheme="majorHAnsi" w:hAnsiTheme="majorHAnsi"/>
          <w:sz w:val="22"/>
          <w:szCs w:val="22"/>
        </w:rPr>
        <w:t xml:space="preserve">the </w:t>
      </w:r>
      <w:r w:rsidRPr="00FE3806">
        <w:rPr>
          <w:rFonts w:asciiTheme="majorHAnsi" w:hAnsiTheme="majorHAnsi"/>
          <w:sz w:val="22"/>
          <w:szCs w:val="22"/>
        </w:rPr>
        <w:t xml:space="preserve">adoption of a Plan, the GSA must submit to </w:t>
      </w:r>
      <w:r w:rsidR="00DF0624">
        <w:rPr>
          <w:rFonts w:asciiTheme="majorHAnsi" w:hAnsiTheme="majorHAnsi"/>
          <w:sz w:val="22"/>
          <w:szCs w:val="22"/>
        </w:rPr>
        <w:t xml:space="preserve">the </w:t>
      </w:r>
      <w:r w:rsidRPr="00FE3806">
        <w:rPr>
          <w:rFonts w:asciiTheme="majorHAnsi" w:hAnsiTheme="majorHAnsi"/>
          <w:sz w:val="22"/>
          <w:szCs w:val="22"/>
        </w:rPr>
        <w:t>DWR an annual compliance report containing basin groundwater data, including elevation, aggregate extraction, water usage</w:t>
      </w:r>
      <w:r w:rsidR="00F90F93">
        <w:rPr>
          <w:rFonts w:asciiTheme="majorHAnsi" w:hAnsiTheme="majorHAnsi"/>
          <w:sz w:val="22"/>
          <w:szCs w:val="22"/>
        </w:rPr>
        <w:t>,</w:t>
      </w:r>
      <w:r w:rsidRPr="00FE3806">
        <w:rPr>
          <w:rFonts w:asciiTheme="majorHAnsi" w:hAnsiTheme="majorHAnsi"/>
          <w:sz w:val="22"/>
          <w:szCs w:val="22"/>
        </w:rPr>
        <w:t xml:space="preserve"> and any changes in groundwater storage.</w:t>
      </w:r>
    </w:p>
    <w:p w14:paraId="684593C7" w14:textId="07A7D376" w:rsidR="00F3457A" w:rsidRPr="005257AF" w:rsidRDefault="00F90F93" w:rsidP="000202E2">
      <w:pPr>
        <w:pStyle w:val="BodyText"/>
        <w:jc w:val="both"/>
        <w:rPr>
          <w:rFonts w:asciiTheme="majorHAnsi" w:hAnsiTheme="majorHAnsi"/>
          <w:sz w:val="22"/>
          <w:szCs w:val="22"/>
        </w:rPr>
        <w:sectPr w:rsidR="00F3457A" w:rsidRPr="005257AF" w:rsidSect="004D1467">
          <w:pgSz w:w="12240" w:h="15840" w:code="1"/>
          <w:pgMar w:top="1080" w:right="1728" w:bottom="1440" w:left="1728" w:header="864" w:footer="864" w:gutter="0"/>
          <w:pgNumType w:start="1" w:chapStyle="1"/>
          <w:cols w:space="720"/>
          <w:titlePg/>
        </w:sectPr>
      </w:pPr>
      <w:r>
        <w:rPr>
          <w:rFonts w:asciiTheme="majorHAnsi" w:hAnsiTheme="majorHAnsi"/>
          <w:sz w:val="22"/>
          <w:szCs w:val="22"/>
        </w:rPr>
        <w:t>The i</w:t>
      </w:r>
      <w:r w:rsidRPr="008204DD">
        <w:rPr>
          <w:rFonts w:asciiTheme="majorHAnsi" w:hAnsiTheme="majorHAnsi"/>
          <w:sz w:val="22"/>
          <w:szCs w:val="22"/>
        </w:rPr>
        <w:t xml:space="preserve">mplication </w:t>
      </w:r>
      <w:r w:rsidR="00F3457A" w:rsidRPr="008204DD">
        <w:rPr>
          <w:rFonts w:asciiTheme="majorHAnsi" w:hAnsiTheme="majorHAnsi"/>
          <w:sz w:val="22"/>
          <w:szCs w:val="22"/>
        </w:rPr>
        <w:t xml:space="preserve">for the Agencies </w:t>
      </w:r>
      <w:r>
        <w:rPr>
          <w:rFonts w:asciiTheme="majorHAnsi" w:hAnsiTheme="majorHAnsi"/>
          <w:sz w:val="22"/>
          <w:szCs w:val="22"/>
        </w:rPr>
        <w:t>is that they</w:t>
      </w:r>
      <w:r w:rsidR="00F3457A" w:rsidRPr="008204DD">
        <w:rPr>
          <w:rFonts w:asciiTheme="majorHAnsi" w:hAnsiTheme="majorHAnsi"/>
          <w:sz w:val="22"/>
          <w:szCs w:val="22"/>
        </w:rPr>
        <w:t xml:space="preserve"> should establish a monitoring plan that will enable </w:t>
      </w:r>
      <w:r>
        <w:rPr>
          <w:rFonts w:asciiTheme="majorHAnsi" w:hAnsiTheme="majorHAnsi"/>
          <w:sz w:val="22"/>
          <w:szCs w:val="22"/>
        </w:rPr>
        <w:t>them</w:t>
      </w:r>
      <w:r w:rsidR="00F3457A" w:rsidRPr="008204DD">
        <w:rPr>
          <w:rFonts w:asciiTheme="majorHAnsi" w:hAnsiTheme="majorHAnsi"/>
          <w:sz w:val="22"/>
          <w:szCs w:val="22"/>
        </w:rPr>
        <w:t xml:space="preserve"> to have the information required to clearly establish a sustainable production rate and demonstrate compliance with the SGMA.</w:t>
      </w:r>
    </w:p>
    <w:p w14:paraId="5FFD8ECE" w14:textId="17C438BA" w:rsidR="006A7012" w:rsidRPr="00074B83" w:rsidRDefault="00F3457A" w:rsidP="00FE3806">
      <w:pPr>
        <w:pStyle w:val="Heading1"/>
        <w:pBdr>
          <w:bottom w:val="none" w:sz="0" w:space="0" w:color="auto"/>
        </w:pBdr>
        <w:spacing w:after="600"/>
        <w:ind w:left="0"/>
      </w:pPr>
      <w:bookmarkStart w:id="47" w:name="_Toc427921441"/>
      <w:r>
        <w:t xml:space="preserve">- </w:t>
      </w:r>
      <w:r w:rsidR="00AB12A2">
        <w:t>Conclusions</w:t>
      </w:r>
      <w:r w:rsidR="00147E32" w:rsidRPr="00147E32">
        <w:t xml:space="preserve"> </w:t>
      </w:r>
      <w:r w:rsidR="00147E32">
        <w:t>and Recommendations</w:t>
      </w:r>
      <w:bookmarkEnd w:id="47"/>
    </w:p>
    <w:p w14:paraId="1D5C5412" w14:textId="77777777" w:rsidR="009C37B4" w:rsidRDefault="00061F32" w:rsidP="00D75382">
      <w:pPr>
        <w:pStyle w:val="Heading2"/>
      </w:pPr>
      <w:bookmarkStart w:id="48" w:name="_Toc427921442"/>
      <w:r>
        <w:t>Conclusions</w:t>
      </w:r>
      <w:bookmarkEnd w:id="48"/>
    </w:p>
    <w:p w14:paraId="7A120B34" w14:textId="0E99A3DF" w:rsidR="009C37B4" w:rsidRDefault="00845C55" w:rsidP="00D75382">
      <w:pPr>
        <w:pStyle w:val="StyleBodyText12ptJustified"/>
      </w:pPr>
      <w:r>
        <w:t xml:space="preserve">Based on </w:t>
      </w:r>
      <w:r w:rsidR="00F90F93">
        <w:t xml:space="preserve">the </w:t>
      </w:r>
      <w:r>
        <w:t xml:space="preserve">review of </w:t>
      </w:r>
      <w:r w:rsidR="00F90F93">
        <w:t xml:space="preserve">Bedford Basin </w:t>
      </w:r>
      <w:r>
        <w:t xml:space="preserve">hydrology and hydrogeology, </w:t>
      </w:r>
      <w:r w:rsidR="00F90F93">
        <w:t xml:space="preserve">WEI emplaces </w:t>
      </w:r>
      <w:r>
        <w:t>the following conclusions:</w:t>
      </w:r>
    </w:p>
    <w:p w14:paraId="2144D3D6" w14:textId="0283088E" w:rsidR="00417EF0" w:rsidRDefault="00417EF0" w:rsidP="00C31848">
      <w:pPr>
        <w:pStyle w:val="StyleBodyText12ptJustified"/>
        <w:numPr>
          <w:ilvl w:val="0"/>
          <w:numId w:val="30"/>
        </w:numPr>
      </w:pPr>
      <w:r w:rsidRPr="00417EF0">
        <w:t xml:space="preserve">The precipitation record for the Upper Temescal Valley demonstrates </w:t>
      </w:r>
      <w:r w:rsidR="00BB1601">
        <w:t xml:space="preserve">that </w:t>
      </w:r>
      <w:r w:rsidRPr="00417EF0">
        <w:t>the climate of the region is subject to prolonged dry periods and short wet periods.</w:t>
      </w:r>
      <w:r w:rsidR="007B42DC" w:rsidRPr="007B42DC">
        <w:t xml:space="preserve"> </w:t>
      </w:r>
      <w:r w:rsidR="007B42DC">
        <w:t xml:space="preserve">The </w:t>
      </w:r>
      <w:r w:rsidR="007B42DC" w:rsidRPr="007B42DC">
        <w:t xml:space="preserve">ratio of dry years to wet years </w:t>
      </w:r>
      <w:r w:rsidR="003865C6">
        <w:t>is</w:t>
      </w:r>
      <w:r w:rsidR="007B42DC" w:rsidRPr="007B42DC">
        <w:t xml:space="preserve"> about three to two. That is, for every ten years, about 6 years experienced below-average precipitation, and four years experienced above-average precipitation.</w:t>
      </w:r>
      <w:r w:rsidR="00C01A0E">
        <w:t xml:space="preserve"> Significant p</w:t>
      </w:r>
      <w:r w:rsidR="00C01A0E" w:rsidRPr="00AE3E29">
        <w:t xml:space="preserve">recipitation during </w:t>
      </w:r>
      <w:r w:rsidR="00BB1601">
        <w:t>the</w:t>
      </w:r>
      <w:r w:rsidR="00BB1601" w:rsidRPr="00AE3E29">
        <w:t xml:space="preserve"> </w:t>
      </w:r>
      <w:r w:rsidR="00C01A0E" w:rsidRPr="00AE3E29">
        <w:t xml:space="preserve">year generally occurs from November to April, with </w:t>
      </w:r>
      <w:r w:rsidR="00BB1601">
        <w:t xml:space="preserve">the </w:t>
      </w:r>
      <w:r w:rsidR="00C01A0E" w:rsidRPr="00AE3E29">
        <w:t>highest monthly precipitation in January and February.</w:t>
      </w:r>
      <w:r w:rsidR="00C01A0E">
        <w:t xml:space="preserve"> Over the period of record, the average annual precipitation </w:t>
      </w:r>
      <w:r w:rsidR="003865C6">
        <w:t>was</w:t>
      </w:r>
      <w:r w:rsidR="00C01A0E">
        <w:t xml:space="preserve"> </w:t>
      </w:r>
      <w:r w:rsidR="003865C6" w:rsidRPr="00035926">
        <w:t>12.</w:t>
      </w:r>
      <w:r w:rsidR="00035926">
        <w:t>13</w:t>
      </w:r>
      <w:r w:rsidR="003865C6">
        <w:t xml:space="preserve"> inches, maximum annual precipitation was </w:t>
      </w:r>
      <w:r w:rsidR="003865C6" w:rsidRPr="00035926">
        <w:t>33.60</w:t>
      </w:r>
      <w:r w:rsidR="003865C6">
        <w:t xml:space="preserve"> inches (2005), and minimum annual precipitation was </w:t>
      </w:r>
      <w:r w:rsidR="003865C6" w:rsidRPr="00035926">
        <w:t>1.97</w:t>
      </w:r>
      <w:r w:rsidR="003865C6">
        <w:t xml:space="preserve"> inches (2007).</w:t>
      </w:r>
    </w:p>
    <w:p w14:paraId="687F7BA7" w14:textId="6F1235EF" w:rsidR="00A92062" w:rsidRDefault="00DF1142" w:rsidP="00C31848">
      <w:pPr>
        <w:pStyle w:val="StyleBodyText12ptJustified"/>
        <w:numPr>
          <w:ilvl w:val="0"/>
          <w:numId w:val="30"/>
        </w:numPr>
      </w:pPr>
      <w:r>
        <w:t xml:space="preserve">The Temescal Wash is the </w:t>
      </w:r>
      <w:r w:rsidR="00AF2159">
        <w:t xml:space="preserve">main </w:t>
      </w:r>
      <w:r>
        <w:t xml:space="preserve">stream </w:t>
      </w:r>
      <w:r w:rsidR="00AF2159">
        <w:t xml:space="preserve">that </w:t>
      </w:r>
      <w:r w:rsidR="00417EF0">
        <w:t>drains</w:t>
      </w:r>
      <w:r w:rsidR="00AF2159">
        <w:t xml:space="preserve"> the </w:t>
      </w:r>
      <w:r>
        <w:t xml:space="preserve">Temescal Wash and Bedford Wash </w:t>
      </w:r>
      <w:r w:rsidR="00BB1601">
        <w:t>Watersheds</w:t>
      </w:r>
      <w:r>
        <w:t xml:space="preserve">. </w:t>
      </w:r>
      <w:r w:rsidR="00417EF0">
        <w:t xml:space="preserve">The Temescal Wash is a natural channel from just downstream of Lake Elsinore to the point where it discharges into the All-American Aggregate Pit in the City of Corona. </w:t>
      </w:r>
      <w:r>
        <w:t>Tributary flow to the Temescal Wash consists primarily of small unlined stream channels that drain the adjacent mountain slopes and valleys.</w:t>
      </w:r>
      <w:r w:rsidR="00BE7F52">
        <w:t xml:space="preserve"> </w:t>
      </w:r>
      <w:r w:rsidR="00F60255" w:rsidRPr="00F60255">
        <w:t>Over the period of record</w:t>
      </w:r>
      <w:r w:rsidR="00D9695F">
        <w:t xml:space="preserve"> at USGS station 11072000</w:t>
      </w:r>
      <w:r w:rsidR="00F60255" w:rsidRPr="00F60255">
        <w:t>, the monthly discharge ranged from a minimum of zero cfs to maximum of 9,707 cfs</w:t>
      </w:r>
      <w:r w:rsidR="00BB1601">
        <w:t>, and</w:t>
      </w:r>
      <w:r w:rsidR="00BB1601" w:rsidRPr="00F60255">
        <w:t xml:space="preserve"> </w:t>
      </w:r>
      <w:r w:rsidR="00F60255" w:rsidRPr="00F60255">
        <w:t>the monthly average discharge ranged from approximately 16 cfs (952 acre-ft/mo) to 490 cfs (29,157 acre-ft/mo).</w:t>
      </w:r>
      <w:r w:rsidR="00D9695F">
        <w:t xml:space="preserve"> The average monthly discharge is large compared to the observed range in storage change of only 6,500 acre-ft.</w:t>
      </w:r>
    </w:p>
    <w:p w14:paraId="07371253" w14:textId="4F3E465E" w:rsidR="009413DB" w:rsidRDefault="00DF1142" w:rsidP="00C31848">
      <w:pPr>
        <w:pStyle w:val="StyleBodyText12ptJustified"/>
        <w:numPr>
          <w:ilvl w:val="0"/>
          <w:numId w:val="30"/>
        </w:numPr>
      </w:pPr>
      <w:r>
        <w:t>The Bedford Basin is a relatively small</w:t>
      </w:r>
      <w:r w:rsidR="00187AA4">
        <w:t xml:space="preserve"> </w:t>
      </w:r>
      <w:r>
        <w:t xml:space="preserve">and narrow groundwater basin. </w:t>
      </w:r>
      <w:r w:rsidR="00187AA4" w:rsidRPr="00187AA4">
        <w:t xml:space="preserve">The alluvial sediments along Temescal Wash </w:t>
      </w:r>
      <w:r w:rsidR="00187AA4">
        <w:t xml:space="preserve">are shallow, thin, </w:t>
      </w:r>
      <w:r w:rsidR="00187AA4" w:rsidRPr="00187AA4">
        <w:t xml:space="preserve">range between </w:t>
      </w:r>
      <w:r w:rsidR="001E4C64">
        <w:t>6</w:t>
      </w:r>
      <w:r w:rsidR="00187AA4" w:rsidRPr="00187AA4">
        <w:t>0 to 1</w:t>
      </w:r>
      <w:r w:rsidR="00EB1095">
        <w:t>4</w:t>
      </w:r>
      <w:r w:rsidR="00187AA4" w:rsidRPr="00187AA4">
        <w:t>0 feet deep</w:t>
      </w:r>
      <w:r w:rsidR="00187AA4">
        <w:t>,</w:t>
      </w:r>
      <w:r w:rsidR="00187AA4" w:rsidRPr="00187AA4">
        <w:t xml:space="preserve"> and are horizontally confined by </w:t>
      </w:r>
      <w:r w:rsidR="00187AA4">
        <w:t>consolidated non-water-bearing bedrock formations</w:t>
      </w:r>
      <w:r w:rsidR="00187AA4" w:rsidRPr="00187AA4">
        <w:t xml:space="preserve"> </w:t>
      </w:r>
      <w:r w:rsidR="00187AA4">
        <w:t>on both sides.</w:t>
      </w:r>
    </w:p>
    <w:p w14:paraId="66C6A289" w14:textId="6521B064" w:rsidR="009413DB" w:rsidRDefault="00803D0F" w:rsidP="00C31848">
      <w:pPr>
        <w:pStyle w:val="StyleBodyText12ptJustified"/>
        <w:numPr>
          <w:ilvl w:val="0"/>
          <w:numId w:val="30"/>
        </w:numPr>
      </w:pPr>
      <w:r>
        <w:t xml:space="preserve">Analysis of aquifer properties from the Flagler and Gregory wells indicate the hydraulic conductivities are highest in the northern portion of </w:t>
      </w:r>
      <w:r w:rsidR="00086AD4">
        <w:t xml:space="preserve">the </w:t>
      </w:r>
      <w:r>
        <w:t>Bedford Basin. This suggests the northern portion represents a very producti</w:t>
      </w:r>
      <w:r w:rsidR="00BA2A49">
        <w:t>ve</w:t>
      </w:r>
      <w:r>
        <w:t xml:space="preserve"> portion of the basin. Additional aquifer test data is needed from </w:t>
      </w:r>
      <w:r w:rsidR="00BB1601">
        <w:t xml:space="preserve">the </w:t>
      </w:r>
      <w:r>
        <w:t xml:space="preserve">central Bedford Basin to assess how </w:t>
      </w:r>
      <w:r w:rsidR="00BA2A49">
        <w:t>aquifer parameters</w:t>
      </w:r>
      <w:r>
        <w:t xml:space="preserve"> var</w:t>
      </w:r>
      <w:r w:rsidR="00BA2A49">
        <w:t xml:space="preserve">y </w:t>
      </w:r>
      <w:r>
        <w:t>across the basin.</w:t>
      </w:r>
    </w:p>
    <w:p w14:paraId="26663BC8" w14:textId="3FFA6537" w:rsidR="00A54FA5" w:rsidRPr="00A54FA5" w:rsidRDefault="00A54FA5" w:rsidP="00A54FA5">
      <w:pPr>
        <w:pStyle w:val="StyleBodyText12ptJustified"/>
        <w:numPr>
          <w:ilvl w:val="0"/>
          <w:numId w:val="30"/>
        </w:numPr>
      </w:pPr>
      <w:r w:rsidRPr="00A54FA5">
        <w:t>Between 1945 and present day, groundwater levels within the Bedford Basin have ranged from approximately 5 to 70 feet-bgs. Groundwater levels in the Bedford Basin respond to the stresses of both precipitation and groundwater production. This is evident in the 1945 to 1978 dry-period, where the climate was dry, groundwater levels were at their</w:t>
      </w:r>
      <w:r w:rsidR="008331AF">
        <w:t xml:space="preserve"> lowest</w:t>
      </w:r>
      <w:r w:rsidRPr="00A54FA5">
        <w:t xml:space="preserve"> recorded, and groundwater production was at its greatest. Water levels in the Bedford Basin have also recovered rapidly following wet years (i.e. 1969 and 1978). Following the 1978 wet year, groundwater levels remained within approximately 30 feet of the ground surface. Higher water groundwater levels between 1978 and present day </w:t>
      </w:r>
      <w:r w:rsidR="008331AF">
        <w:t>are</w:t>
      </w:r>
      <w:r w:rsidR="008331AF" w:rsidRPr="00A54FA5">
        <w:t xml:space="preserve"> </w:t>
      </w:r>
      <w:r w:rsidRPr="00A54FA5">
        <w:t xml:space="preserve">likely due to </w:t>
      </w:r>
      <w:r w:rsidR="00D9695F">
        <w:t>the combination of the wet period of 1978 through 1998</w:t>
      </w:r>
      <w:r w:rsidR="005C011A">
        <w:t xml:space="preserve">, the recent </w:t>
      </w:r>
      <w:r w:rsidR="00FC5E72">
        <w:t>occurrence</w:t>
      </w:r>
      <w:r w:rsidR="005C011A">
        <w:t xml:space="preserve"> of recycled water discharges to the Temescal Wash</w:t>
      </w:r>
      <w:r w:rsidR="008331AF">
        <w:t>,</w:t>
      </w:r>
      <w:r w:rsidR="005C011A">
        <w:t xml:space="preserve"> and historically low groundwater production</w:t>
      </w:r>
      <w:r w:rsidRPr="00A54FA5">
        <w:t>.</w:t>
      </w:r>
    </w:p>
    <w:p w14:paraId="33D8F080" w14:textId="3928F59D" w:rsidR="0073320E" w:rsidRDefault="0073320E" w:rsidP="0073320E">
      <w:pPr>
        <w:pStyle w:val="StyleBodyText12ptJustified"/>
        <w:numPr>
          <w:ilvl w:val="0"/>
          <w:numId w:val="30"/>
        </w:numPr>
      </w:pPr>
      <w:r>
        <w:t>Recharge sources</w:t>
      </w:r>
      <w:r w:rsidR="000F58C5">
        <w:t>—</w:t>
      </w:r>
      <w:r>
        <w:t>including DIPAW, some POTW discharge</w:t>
      </w:r>
      <w:r w:rsidR="000F58C5">
        <w:t>s</w:t>
      </w:r>
      <w:r>
        <w:t>, storm-water runoff along the Temescal Wash and from surrounding mountain slopes and valleys, and dry-weather runoff</w:t>
      </w:r>
      <w:r w:rsidR="000F58C5">
        <w:t>—</w:t>
      </w:r>
      <w:r>
        <w:t xml:space="preserve">are the major sources of recharge to the Bedford Basin. The annual time history of values for these recharge sources </w:t>
      </w:r>
      <w:r w:rsidR="005C011A">
        <w:t>should</w:t>
      </w:r>
      <w:r>
        <w:t xml:space="preserve"> be verified through modeling prior to initiating the Phase 2 investigation.</w:t>
      </w:r>
      <w:r w:rsidR="00D17064">
        <w:t xml:space="preserve"> </w:t>
      </w:r>
    </w:p>
    <w:p w14:paraId="6D565E4C" w14:textId="06D27A8D" w:rsidR="004E4266" w:rsidRPr="00EB3B80" w:rsidRDefault="004E4266" w:rsidP="004E4266">
      <w:pPr>
        <w:pStyle w:val="StyleBodyText12ptJustified"/>
        <w:numPr>
          <w:ilvl w:val="0"/>
          <w:numId w:val="30"/>
        </w:numPr>
      </w:pPr>
      <w:r w:rsidRPr="00EB3B80">
        <w:t xml:space="preserve">Estimates </w:t>
      </w:r>
      <w:r w:rsidR="0073320E">
        <w:t xml:space="preserve">of irrigation </w:t>
      </w:r>
      <w:r w:rsidRPr="00EB3B80">
        <w:t>return flows</w:t>
      </w:r>
      <w:r w:rsidR="0073320E">
        <w:t xml:space="preserve"> (part of DIPAW)</w:t>
      </w:r>
      <w:r w:rsidRPr="00EB3B80">
        <w:t xml:space="preserve"> in the Upper Temescal Valley ranged from approximately 8,725 acre-feet in </w:t>
      </w:r>
      <w:r w:rsidRPr="00A54FA5">
        <w:t>1975 to 2,</w:t>
      </w:r>
      <w:r w:rsidR="002A674B" w:rsidRPr="00A54FA5">
        <w:t>400</w:t>
      </w:r>
      <w:r>
        <w:t xml:space="preserve"> acre-feet in 2014</w:t>
      </w:r>
      <w:r w:rsidRPr="00187AA4">
        <w:t xml:space="preserve">. The large decrease in return flows </w:t>
      </w:r>
      <w:r>
        <w:t>is</w:t>
      </w:r>
      <w:r w:rsidRPr="00187AA4">
        <w:t xml:space="preserve"> attributed to changes in overlying land uses (i.e. irrigated crop land to urban residential and commercial land) and improved irrigation efficiency.</w:t>
      </w:r>
    </w:p>
    <w:p w14:paraId="256C8578" w14:textId="5878C74A" w:rsidR="004E4266" w:rsidRDefault="004E4266" w:rsidP="004E4266">
      <w:pPr>
        <w:pStyle w:val="StyleBodyText12ptJustified"/>
        <w:numPr>
          <w:ilvl w:val="0"/>
          <w:numId w:val="30"/>
        </w:numPr>
      </w:pPr>
      <w:r>
        <w:t xml:space="preserve">Groundwater production from the Bedford Basin was greatest between </w:t>
      </w:r>
      <w:r w:rsidR="00A54FA5" w:rsidRPr="00D61CA0">
        <w:t>194</w:t>
      </w:r>
      <w:r w:rsidR="00A54FA5">
        <w:t>7</w:t>
      </w:r>
      <w:r w:rsidR="00A54FA5" w:rsidRPr="00D61CA0">
        <w:t xml:space="preserve"> </w:t>
      </w:r>
      <w:r w:rsidRPr="00D61CA0">
        <w:t xml:space="preserve">and </w:t>
      </w:r>
      <w:r w:rsidR="00D62574" w:rsidRPr="00A54FA5">
        <w:t>1984</w:t>
      </w:r>
      <w:r w:rsidRPr="00A54FA5">
        <w:t>.</w:t>
      </w:r>
      <w:r>
        <w:t xml:space="preserve"> Average annual production during this time period was approximately 3,</w:t>
      </w:r>
      <w:r w:rsidR="003865C6">
        <w:t xml:space="preserve">110 </w:t>
      </w:r>
      <w:r>
        <w:t xml:space="preserve">acre-ft/yr. </w:t>
      </w:r>
      <w:r w:rsidR="00341B0D">
        <w:t xml:space="preserve">Groundwater production </w:t>
      </w:r>
      <w:r w:rsidR="00BA2A49">
        <w:t>was</w:t>
      </w:r>
      <w:r w:rsidR="00341B0D">
        <w:t xml:space="preserve"> greatest in northern Bedford Basin at the confluence of the Temescal Wash and Bedford Wash near the Flagler wells. </w:t>
      </w:r>
      <w:r>
        <w:t xml:space="preserve">Since 2005, groundwater production </w:t>
      </w:r>
      <w:r w:rsidR="002A674B">
        <w:t>from</w:t>
      </w:r>
      <w:r w:rsidR="00B84970">
        <w:t xml:space="preserve"> the Bedford Basin </w:t>
      </w:r>
      <w:r>
        <w:t>has significantly declined</w:t>
      </w:r>
      <w:r w:rsidR="00341B0D">
        <w:t>.</w:t>
      </w:r>
      <w:r>
        <w:t xml:space="preserve"> Average annual production from 2005 to 201</w:t>
      </w:r>
      <w:r w:rsidR="00D62574">
        <w:t>2</w:t>
      </w:r>
      <w:r>
        <w:t xml:space="preserve"> was approximately </w:t>
      </w:r>
      <w:r w:rsidR="00B84970">
        <w:t>6</w:t>
      </w:r>
      <w:r w:rsidR="00D62574">
        <w:t>00</w:t>
      </w:r>
      <w:r>
        <w:t xml:space="preserve"> acre-ft/yr. </w:t>
      </w:r>
      <w:r w:rsidR="00A54FA5">
        <w:t xml:space="preserve">High groundwater production during the 1947 to 1984 </w:t>
      </w:r>
      <w:r w:rsidR="00A54FA5" w:rsidRPr="00A54FA5">
        <w:t xml:space="preserve">period corresponds with the </w:t>
      </w:r>
      <w:r w:rsidR="00630D27" w:rsidRPr="00630D27">
        <w:t>32</w:t>
      </w:r>
      <w:r w:rsidR="00A54FA5" w:rsidRPr="00630D27">
        <w:t>-year</w:t>
      </w:r>
      <w:r w:rsidR="00A54FA5" w:rsidRPr="00A54FA5">
        <w:t xml:space="preserve"> dry period </w:t>
      </w:r>
      <w:r w:rsidR="00A54FA5">
        <w:t xml:space="preserve">from </w:t>
      </w:r>
      <w:r w:rsidR="00A54FA5" w:rsidRPr="00A54FA5">
        <w:t xml:space="preserve">1946 </w:t>
      </w:r>
      <w:r w:rsidR="00A54FA5">
        <w:t>to</w:t>
      </w:r>
      <w:r w:rsidR="00A54FA5" w:rsidRPr="00A54FA5">
        <w:t xml:space="preserve"> 1977. Groundwater levels were lower in this period than in the post-1977</w:t>
      </w:r>
      <w:r w:rsidR="00A54FA5">
        <w:t xml:space="preserve"> period. H</w:t>
      </w:r>
      <w:r w:rsidR="00A54FA5" w:rsidRPr="00A54FA5">
        <w:t xml:space="preserve">igher </w:t>
      </w:r>
      <w:r w:rsidR="00A54FA5">
        <w:t xml:space="preserve">groundwater </w:t>
      </w:r>
      <w:r w:rsidR="00A54FA5" w:rsidRPr="00A54FA5">
        <w:t>production during the 1947 through 1977 period was sustained in part from irrigation return flows</w:t>
      </w:r>
      <w:r w:rsidR="00F4192D">
        <w:t>,</w:t>
      </w:r>
      <w:r w:rsidR="00A54FA5" w:rsidRPr="00A54FA5">
        <w:t xml:space="preserve"> </w:t>
      </w:r>
      <w:r w:rsidR="00F4192D">
        <w:t>which</w:t>
      </w:r>
      <w:r w:rsidR="00F4192D" w:rsidRPr="00A54FA5">
        <w:t xml:space="preserve"> </w:t>
      </w:r>
      <w:r w:rsidR="00A54FA5" w:rsidRPr="00A54FA5">
        <w:t xml:space="preserve">were greater during this period than the post-1977 period. This means that the </w:t>
      </w:r>
      <w:r w:rsidR="00A54FA5">
        <w:t xml:space="preserve">groundwater </w:t>
      </w:r>
      <w:r w:rsidR="00A54FA5" w:rsidRPr="00A54FA5">
        <w:t>production sustained in the 1947 through 1977 period is not characteristic of sustainable production in the present or future</w:t>
      </w:r>
      <w:r w:rsidR="00A54FA5">
        <w:t>.</w:t>
      </w:r>
    </w:p>
    <w:p w14:paraId="6EA92F80" w14:textId="2C824F5B" w:rsidR="00D54C78" w:rsidRDefault="00D54C78" w:rsidP="004E4266">
      <w:pPr>
        <w:pStyle w:val="StyleBodyText12ptJustified"/>
        <w:numPr>
          <w:ilvl w:val="0"/>
          <w:numId w:val="30"/>
        </w:numPr>
      </w:pPr>
      <w:r>
        <w:t>Evapotranspiration and sub</w:t>
      </w:r>
      <w:r w:rsidR="00630D27">
        <w:t>-</w:t>
      </w:r>
      <w:r>
        <w:t xml:space="preserve">surface outflow are small discharge components </w:t>
      </w:r>
      <w:r w:rsidR="00F4192D">
        <w:t xml:space="preserve">of </w:t>
      </w:r>
      <w:r>
        <w:t xml:space="preserve">the Bedford Basin water budget. </w:t>
      </w:r>
      <w:r w:rsidR="002D7239">
        <w:t xml:space="preserve">Evapotranspiration from the Bedford Basin was estimated to be 540 acre-ft/yr. Sub-surface outflow from the Bedford Basin to Temescal Basin was estimated to range from 0 to 115 acre-ft/yr. </w:t>
      </w:r>
      <w:r>
        <w:t xml:space="preserve">Additional yield from the </w:t>
      </w:r>
      <w:r w:rsidR="003865C6">
        <w:t xml:space="preserve">basin </w:t>
      </w:r>
      <w:r>
        <w:t xml:space="preserve">can be achieved by identifying their magnitudes and reducing them through strategically located wells. </w:t>
      </w:r>
      <w:r w:rsidR="003865C6">
        <w:t>T</w:t>
      </w:r>
      <w:r>
        <w:t>h</w:t>
      </w:r>
      <w:r w:rsidR="005C011A">
        <w:t xml:space="preserve">e magnitude of evapotranspiration and sub-surface outflow </w:t>
      </w:r>
      <w:r>
        <w:t>should be estimated before initiating the Phase 2 investigation.</w:t>
      </w:r>
    </w:p>
    <w:p w14:paraId="400A3366" w14:textId="1F6A5F5D" w:rsidR="00341B0D" w:rsidRDefault="00B84970" w:rsidP="00341B0D">
      <w:pPr>
        <w:pStyle w:val="StyleBodyText12ptJustified"/>
        <w:numPr>
          <w:ilvl w:val="0"/>
          <w:numId w:val="30"/>
        </w:numPr>
      </w:pPr>
      <w:r>
        <w:t>The total storage in the Bedford Basin was approximately 12,160 acre-ft in 1949 and approximately 18,650 in 2012</w:t>
      </w:r>
      <w:r w:rsidR="00F4192D">
        <w:t>—</w:t>
      </w:r>
      <w:r>
        <w:t xml:space="preserve">a storage </w:t>
      </w:r>
      <w:r w:rsidR="005C011A">
        <w:t xml:space="preserve">change </w:t>
      </w:r>
      <w:r>
        <w:t xml:space="preserve">of about 6,500 acre-ft over 63 years. </w:t>
      </w:r>
      <w:r w:rsidR="005C011A">
        <w:t>From a groundwater management perspective</w:t>
      </w:r>
      <w:r w:rsidR="00F4192D">
        <w:t>,</w:t>
      </w:r>
      <w:r w:rsidR="005C011A">
        <w:t xml:space="preserve"> the storage capacity of the basin and its historical operating range are small relative to the recharge (e.g. DIPAW) and discharge (e.g. production) terms that can be estimated</w:t>
      </w:r>
      <w:r w:rsidRPr="00BA2A49">
        <w:t>.</w:t>
      </w:r>
      <w:r w:rsidR="005C011A">
        <w:t xml:space="preserve"> This means that the annual production yield of the basin will be highly variable without a groundwater management plan.</w:t>
      </w:r>
    </w:p>
    <w:p w14:paraId="6262AACB" w14:textId="05AAA7D9" w:rsidR="00A136B0" w:rsidRDefault="002D2D78" w:rsidP="00C31848">
      <w:pPr>
        <w:pStyle w:val="StyleBodyText12ptJustified"/>
        <w:numPr>
          <w:ilvl w:val="0"/>
          <w:numId w:val="30"/>
        </w:numPr>
      </w:pPr>
      <w:r w:rsidRPr="00187AA4">
        <w:t xml:space="preserve">Based on </w:t>
      </w:r>
      <w:r w:rsidR="00341B0D">
        <w:t xml:space="preserve">limited </w:t>
      </w:r>
      <w:r w:rsidRPr="00187AA4">
        <w:t xml:space="preserve">available </w:t>
      </w:r>
      <w:r w:rsidR="00341B0D">
        <w:t xml:space="preserve">groundwater quality </w:t>
      </w:r>
      <w:r w:rsidRPr="00187AA4">
        <w:t xml:space="preserve">data, </w:t>
      </w:r>
      <w:r w:rsidR="00717859" w:rsidRPr="00187AA4">
        <w:t xml:space="preserve">TDS is </w:t>
      </w:r>
      <w:r w:rsidR="00C14361">
        <w:t>a</w:t>
      </w:r>
      <w:r w:rsidRPr="00187AA4">
        <w:t xml:space="preserve"> </w:t>
      </w:r>
      <w:r w:rsidR="00717859" w:rsidRPr="00187AA4">
        <w:t xml:space="preserve">water quality </w:t>
      </w:r>
      <w:r w:rsidRPr="00187AA4">
        <w:t xml:space="preserve">constituent of </w:t>
      </w:r>
      <w:r w:rsidR="00717859" w:rsidRPr="00187AA4">
        <w:t xml:space="preserve">concern </w:t>
      </w:r>
      <w:r w:rsidRPr="00187AA4">
        <w:t>within</w:t>
      </w:r>
      <w:r w:rsidR="00717859" w:rsidRPr="00187AA4">
        <w:t xml:space="preserve"> the Bedford Basi</w:t>
      </w:r>
      <w:r w:rsidR="00A07180">
        <w:t>n</w:t>
      </w:r>
      <w:r w:rsidR="00BA2A49">
        <w:t xml:space="preserve">. Between 2009 and 2014, the average maximum TDS concentration measured at wells in the Bedford Basin was approximately </w:t>
      </w:r>
      <w:r w:rsidR="00BA2A49" w:rsidRPr="00195BE5">
        <w:t>8</w:t>
      </w:r>
      <w:r w:rsidR="00BA2A49">
        <w:t>37</w:t>
      </w:r>
      <w:r w:rsidR="00BA2A49" w:rsidRPr="00195BE5">
        <w:t xml:space="preserve"> mg/L</w:t>
      </w:r>
      <w:r w:rsidR="005C011A">
        <w:t xml:space="preserve"> and about 340 mg/L greater than the SMCL</w:t>
      </w:r>
      <w:r w:rsidR="00BA2A49">
        <w:t>. N</w:t>
      </w:r>
      <w:r w:rsidR="00C14361">
        <w:t xml:space="preserve">itrate as </w:t>
      </w:r>
      <w:r w:rsidR="00D651E7">
        <w:t>nitrogen is</w:t>
      </w:r>
      <w:r w:rsidR="00C14361">
        <w:t xml:space="preserve"> </w:t>
      </w:r>
      <w:r w:rsidR="00A07180">
        <w:t>not a concern in the Bedford Basin</w:t>
      </w:r>
      <w:r w:rsidR="00ED2199">
        <w:t xml:space="preserve">. </w:t>
      </w:r>
      <w:r w:rsidR="00341B0D" w:rsidRPr="00F74018">
        <w:t>Additional</w:t>
      </w:r>
      <w:r w:rsidR="00CE203E" w:rsidRPr="00F74018">
        <w:t xml:space="preserve"> and regular groundwater quality sampling for C</w:t>
      </w:r>
      <w:r w:rsidR="00A07180" w:rsidRPr="00F74018">
        <w:t>alifornia</w:t>
      </w:r>
      <w:r w:rsidR="00CE203E" w:rsidRPr="00F74018">
        <w:t xml:space="preserve"> drinking water standards is needed to fully assess water quality trends and issues within </w:t>
      </w:r>
      <w:r w:rsidR="002A674B" w:rsidRPr="00F74018">
        <w:t xml:space="preserve">and across </w:t>
      </w:r>
      <w:r w:rsidR="00CE203E" w:rsidRPr="00F74018">
        <w:t>the Bedford Basin.</w:t>
      </w:r>
    </w:p>
    <w:p w14:paraId="7E3F064F" w14:textId="77777777" w:rsidR="00752E6B" w:rsidRDefault="00752E6B" w:rsidP="00752E6B">
      <w:pPr>
        <w:pStyle w:val="Heading2"/>
      </w:pPr>
      <w:bookmarkStart w:id="49" w:name="_Toc427921443"/>
      <w:commentRangeStart w:id="50"/>
      <w:r>
        <w:t>Recommendations</w:t>
      </w:r>
      <w:bookmarkEnd w:id="49"/>
      <w:commentRangeEnd w:id="50"/>
      <w:r w:rsidR="00352C39">
        <w:rPr>
          <w:rStyle w:val="CommentReference"/>
          <w:rFonts w:ascii="Times New Roman" w:hAnsi="Times New Roman"/>
          <w:color w:val="auto"/>
          <w:spacing w:val="0"/>
        </w:rPr>
        <w:commentReference w:id="50"/>
      </w:r>
    </w:p>
    <w:p w14:paraId="52E1F95D" w14:textId="77777777" w:rsidR="006F7F35" w:rsidRPr="006F7F35" w:rsidRDefault="006F7F35" w:rsidP="00171A78">
      <w:pPr>
        <w:pStyle w:val="Heading3"/>
      </w:pPr>
      <w:bookmarkStart w:id="51" w:name="_Toc427921444"/>
      <w:r>
        <w:t>Phase 1 Investigation Recommendations</w:t>
      </w:r>
      <w:bookmarkEnd w:id="51"/>
    </w:p>
    <w:p w14:paraId="42283795" w14:textId="60CCE742" w:rsidR="002F5C6F" w:rsidRDefault="002F5C6F" w:rsidP="002F5C6F">
      <w:pPr>
        <w:pStyle w:val="StyleBodyText12ptJustified"/>
      </w:pPr>
      <w:r w:rsidRPr="00BA2A49">
        <w:t>The Bedford Basin is considered a small and shallow basin</w:t>
      </w:r>
      <w:r w:rsidR="000218E4">
        <w:t xml:space="preserve"> of limited storage capacity </w:t>
      </w:r>
      <w:r w:rsidR="00F4192D">
        <w:t xml:space="preserve">that </w:t>
      </w:r>
      <w:r w:rsidRPr="00BA2A49">
        <w:t xml:space="preserve">responds rapidly to both recharge and groundwater extraction. The basin geometry as well as hydrologic and hydrogeologic processes </w:t>
      </w:r>
      <w:r w:rsidR="00C8560B" w:rsidRPr="00BA2A49">
        <w:t>ha</w:t>
      </w:r>
      <w:r w:rsidR="00C8560B">
        <w:t>ve</w:t>
      </w:r>
      <w:r w:rsidRPr="00BA2A49">
        <w:t xml:space="preserve"> important implications on the way </w:t>
      </w:r>
      <w:r w:rsidR="00186873" w:rsidRPr="00BA2A49">
        <w:t xml:space="preserve">groundwater </w:t>
      </w:r>
      <w:r w:rsidR="00186873">
        <w:t xml:space="preserve">and </w:t>
      </w:r>
      <w:r w:rsidRPr="00BA2A49">
        <w:t>surface</w:t>
      </w:r>
      <w:r w:rsidR="00186873">
        <w:t>-</w:t>
      </w:r>
      <w:r w:rsidRPr="00BA2A49">
        <w:t>water can be managed within the Bedford Basin in the near future.</w:t>
      </w:r>
      <w:r w:rsidR="00450C02">
        <w:t xml:space="preserve"> </w:t>
      </w:r>
      <w:r w:rsidR="00F4192D">
        <w:t>WEI recommends the following</w:t>
      </w:r>
      <w:r w:rsidR="00450C02">
        <w:t xml:space="preserve"> </w:t>
      </w:r>
      <w:r w:rsidR="00F4192D">
        <w:t xml:space="preserve">based on this </w:t>
      </w:r>
      <w:r w:rsidR="00450C02">
        <w:t>Phase 1 investigation:</w:t>
      </w:r>
      <w:r w:rsidR="00A4059C">
        <w:t xml:space="preserve"> </w:t>
      </w:r>
    </w:p>
    <w:p w14:paraId="1BE91DF5" w14:textId="03C04A3C" w:rsidR="0018104F" w:rsidRPr="007D0DBA" w:rsidRDefault="0018104F" w:rsidP="00F60255">
      <w:pPr>
        <w:pStyle w:val="Heading4"/>
      </w:pPr>
      <w:bookmarkStart w:id="52" w:name="_Toc427921445"/>
      <w:r w:rsidRPr="007D0DBA">
        <w:t xml:space="preserve">Increase </w:t>
      </w:r>
      <w:r w:rsidR="00A54C21">
        <w:t>G</w:t>
      </w:r>
      <w:r w:rsidR="00A54C21" w:rsidRPr="007D0DBA">
        <w:t xml:space="preserve">roundwater </w:t>
      </w:r>
      <w:r w:rsidR="00A54C21">
        <w:t>P</w:t>
      </w:r>
      <w:r w:rsidR="00A54C21" w:rsidRPr="007D0DBA">
        <w:t>roduction</w:t>
      </w:r>
      <w:bookmarkEnd w:id="52"/>
    </w:p>
    <w:p w14:paraId="592EF6C6" w14:textId="7644657A" w:rsidR="0018104F" w:rsidRPr="0018104F" w:rsidRDefault="0014539E" w:rsidP="0018104F">
      <w:pPr>
        <w:spacing w:after="200" w:line="240" w:lineRule="auto"/>
        <w:rPr>
          <w:rFonts w:asciiTheme="majorHAnsi" w:hAnsiTheme="majorHAnsi"/>
          <w:u w:val="single"/>
        </w:rPr>
      </w:pPr>
      <w:r w:rsidRPr="0018104F">
        <w:rPr>
          <w:rFonts w:asciiTheme="majorHAnsi" w:hAnsiTheme="majorHAnsi"/>
        </w:rPr>
        <w:t>Given the long</w:t>
      </w:r>
      <w:r w:rsidR="00F4192D">
        <w:rPr>
          <w:rFonts w:asciiTheme="majorHAnsi" w:hAnsiTheme="majorHAnsi"/>
        </w:rPr>
        <w:t xml:space="preserve"> </w:t>
      </w:r>
      <w:r w:rsidRPr="0018104F">
        <w:rPr>
          <w:rFonts w:asciiTheme="majorHAnsi" w:hAnsiTheme="majorHAnsi"/>
        </w:rPr>
        <w:t xml:space="preserve">history of precipitation, groundwater production, and groundwater level data for the Bedford Basin, </w:t>
      </w:r>
      <w:r w:rsidR="00F4192D">
        <w:rPr>
          <w:rFonts w:asciiTheme="majorHAnsi" w:hAnsiTheme="majorHAnsi"/>
        </w:rPr>
        <w:t>WEI opines</w:t>
      </w:r>
      <w:r w:rsidRPr="0018104F">
        <w:rPr>
          <w:rFonts w:asciiTheme="majorHAnsi" w:hAnsiTheme="majorHAnsi"/>
        </w:rPr>
        <w:t xml:space="preserve"> </w:t>
      </w:r>
      <w:r w:rsidR="00FC5E72" w:rsidRPr="0018104F">
        <w:rPr>
          <w:rFonts w:asciiTheme="majorHAnsi" w:hAnsiTheme="majorHAnsi"/>
        </w:rPr>
        <w:t>that</w:t>
      </w:r>
      <w:r w:rsidRPr="0018104F">
        <w:rPr>
          <w:rFonts w:asciiTheme="majorHAnsi" w:hAnsiTheme="majorHAnsi"/>
        </w:rPr>
        <w:t xml:space="preserve"> the Bedford Basin groundwater supply </w:t>
      </w:r>
      <w:r w:rsidR="00A4059C" w:rsidRPr="0018104F">
        <w:rPr>
          <w:rFonts w:asciiTheme="majorHAnsi" w:hAnsiTheme="majorHAnsi"/>
        </w:rPr>
        <w:t xml:space="preserve">is underutilized and </w:t>
      </w:r>
      <w:r w:rsidRPr="0018104F">
        <w:rPr>
          <w:rFonts w:asciiTheme="majorHAnsi" w:hAnsiTheme="majorHAnsi"/>
        </w:rPr>
        <w:t xml:space="preserve">can be pumped more aggressively than </w:t>
      </w:r>
      <w:r w:rsidR="006672A6">
        <w:rPr>
          <w:rFonts w:asciiTheme="majorHAnsi" w:hAnsiTheme="majorHAnsi"/>
        </w:rPr>
        <w:t>has been done in the period</w:t>
      </w:r>
      <w:r w:rsidR="00F4192D">
        <w:rPr>
          <w:rFonts w:asciiTheme="majorHAnsi" w:hAnsiTheme="majorHAnsi"/>
        </w:rPr>
        <w:t xml:space="preserve"> spanning</w:t>
      </w:r>
      <w:r w:rsidR="006672A6">
        <w:rPr>
          <w:rFonts w:asciiTheme="majorHAnsi" w:hAnsiTheme="majorHAnsi"/>
        </w:rPr>
        <w:t xml:space="preserve"> </w:t>
      </w:r>
      <w:r w:rsidR="00A252E1">
        <w:rPr>
          <w:rFonts w:asciiTheme="majorHAnsi" w:hAnsiTheme="majorHAnsi"/>
        </w:rPr>
        <w:t xml:space="preserve">2005 </w:t>
      </w:r>
      <w:r w:rsidR="006672A6">
        <w:rPr>
          <w:rFonts w:asciiTheme="majorHAnsi" w:hAnsiTheme="majorHAnsi"/>
        </w:rPr>
        <w:t>to present.</w:t>
      </w:r>
      <w:r w:rsidRPr="0018104F">
        <w:rPr>
          <w:rFonts w:asciiTheme="majorHAnsi" w:hAnsiTheme="majorHAnsi"/>
        </w:rPr>
        <w:t xml:space="preserve"> Certain portions of </w:t>
      </w:r>
      <w:r w:rsidR="00A4059C" w:rsidRPr="0018104F">
        <w:rPr>
          <w:rFonts w:asciiTheme="majorHAnsi" w:hAnsiTheme="majorHAnsi"/>
        </w:rPr>
        <w:t xml:space="preserve">the </w:t>
      </w:r>
      <w:r w:rsidRPr="0018104F">
        <w:rPr>
          <w:rFonts w:asciiTheme="majorHAnsi" w:hAnsiTheme="majorHAnsi"/>
        </w:rPr>
        <w:t>Bedford Basin, such as near the Flagler wells, may be able to be operated at lower groundwater levels. Operating at lower groundwater levels would</w:t>
      </w:r>
      <w:r w:rsidR="00A5555E" w:rsidRPr="0018104F">
        <w:rPr>
          <w:rFonts w:asciiTheme="majorHAnsi" w:hAnsiTheme="majorHAnsi"/>
        </w:rPr>
        <w:t xml:space="preserve">: </w:t>
      </w:r>
      <w:r w:rsidR="006672A6">
        <w:rPr>
          <w:rFonts w:asciiTheme="majorHAnsi" w:hAnsiTheme="majorHAnsi"/>
        </w:rPr>
        <w:t>(i</w:t>
      </w:r>
      <w:r w:rsidR="00A5555E" w:rsidRPr="0018104F">
        <w:rPr>
          <w:rFonts w:asciiTheme="majorHAnsi" w:hAnsiTheme="majorHAnsi"/>
        </w:rPr>
        <w:t>)</w:t>
      </w:r>
      <w:r w:rsidRPr="0018104F">
        <w:rPr>
          <w:rFonts w:asciiTheme="majorHAnsi" w:hAnsiTheme="majorHAnsi"/>
        </w:rPr>
        <w:t xml:space="preserve"> </w:t>
      </w:r>
      <w:r w:rsidR="00A4059C" w:rsidRPr="0018104F">
        <w:rPr>
          <w:rFonts w:asciiTheme="majorHAnsi" w:hAnsiTheme="majorHAnsi"/>
        </w:rPr>
        <w:t>maximize production</w:t>
      </w:r>
      <w:r w:rsidR="00A5555E" w:rsidRPr="0018104F">
        <w:rPr>
          <w:rFonts w:asciiTheme="majorHAnsi" w:hAnsiTheme="majorHAnsi"/>
        </w:rPr>
        <w:t xml:space="preserve"> from the basin and </w:t>
      </w:r>
      <w:r w:rsidR="006672A6">
        <w:rPr>
          <w:rFonts w:asciiTheme="majorHAnsi" w:hAnsiTheme="majorHAnsi"/>
        </w:rPr>
        <w:t>(ii</w:t>
      </w:r>
      <w:r w:rsidR="00A5555E" w:rsidRPr="0018104F">
        <w:rPr>
          <w:rFonts w:asciiTheme="majorHAnsi" w:hAnsiTheme="majorHAnsi"/>
        </w:rPr>
        <w:t xml:space="preserve">) create </w:t>
      </w:r>
      <w:r w:rsidR="006672A6">
        <w:rPr>
          <w:rFonts w:asciiTheme="majorHAnsi" w:hAnsiTheme="majorHAnsi"/>
        </w:rPr>
        <w:t>more storage space that can subsequently be used to store storm</w:t>
      </w:r>
      <w:r w:rsidR="002D7239">
        <w:rPr>
          <w:rFonts w:asciiTheme="majorHAnsi" w:hAnsiTheme="majorHAnsi"/>
        </w:rPr>
        <w:t>-</w:t>
      </w:r>
      <w:r w:rsidR="006672A6">
        <w:rPr>
          <w:rFonts w:asciiTheme="majorHAnsi" w:hAnsiTheme="majorHAnsi"/>
        </w:rPr>
        <w:t>water that is otherwise not recharged and stored. This carries with it the risk of lower annual production during extended dry periods</w:t>
      </w:r>
      <w:r w:rsidR="00317E12">
        <w:rPr>
          <w:rFonts w:asciiTheme="majorHAnsi" w:hAnsiTheme="majorHAnsi"/>
        </w:rPr>
        <w:t>.</w:t>
      </w:r>
    </w:p>
    <w:p w14:paraId="79BE01A9" w14:textId="38F60357" w:rsidR="00E13019" w:rsidRPr="0018104F" w:rsidRDefault="008F7F40" w:rsidP="0018104F">
      <w:pPr>
        <w:spacing w:after="200" w:line="240" w:lineRule="auto"/>
        <w:rPr>
          <w:rFonts w:asciiTheme="majorHAnsi" w:hAnsiTheme="majorHAnsi"/>
          <w:szCs w:val="22"/>
        </w:rPr>
      </w:pPr>
      <w:commentRangeStart w:id="53"/>
      <w:r>
        <w:rPr>
          <w:rFonts w:asciiTheme="majorHAnsi" w:hAnsiTheme="majorHAnsi"/>
          <w:szCs w:val="22"/>
        </w:rPr>
        <w:t xml:space="preserve">Based on a review of the data plotted in Figure </w:t>
      </w:r>
      <w:r w:rsidR="00D800BF">
        <w:rPr>
          <w:rFonts w:asciiTheme="majorHAnsi" w:hAnsiTheme="majorHAnsi"/>
          <w:szCs w:val="22"/>
        </w:rPr>
        <w:t>3-4</w:t>
      </w:r>
      <w:r w:rsidR="00F4192D">
        <w:rPr>
          <w:rFonts w:asciiTheme="majorHAnsi" w:hAnsiTheme="majorHAnsi"/>
          <w:szCs w:val="22"/>
        </w:rPr>
        <w:t>,</w:t>
      </w:r>
      <w:r>
        <w:rPr>
          <w:rFonts w:asciiTheme="majorHAnsi" w:hAnsiTheme="majorHAnsi"/>
          <w:szCs w:val="22"/>
        </w:rPr>
        <w:t xml:space="preserve"> </w:t>
      </w:r>
      <w:r w:rsidR="00F4192D">
        <w:rPr>
          <w:rFonts w:asciiTheme="majorHAnsi" w:hAnsiTheme="majorHAnsi"/>
          <w:szCs w:val="22"/>
        </w:rPr>
        <w:t xml:space="preserve">WEI </w:t>
      </w:r>
      <w:r>
        <w:rPr>
          <w:rFonts w:asciiTheme="majorHAnsi" w:hAnsiTheme="majorHAnsi"/>
          <w:szCs w:val="22"/>
        </w:rPr>
        <w:t>recommend</w:t>
      </w:r>
      <w:r w:rsidR="00F4192D">
        <w:rPr>
          <w:rFonts w:asciiTheme="majorHAnsi" w:hAnsiTheme="majorHAnsi"/>
          <w:szCs w:val="22"/>
        </w:rPr>
        <w:t>s</w:t>
      </w:r>
      <w:r>
        <w:rPr>
          <w:rFonts w:asciiTheme="majorHAnsi" w:hAnsiTheme="majorHAnsi"/>
          <w:szCs w:val="22"/>
        </w:rPr>
        <w:t xml:space="preserve"> that </w:t>
      </w:r>
      <w:r w:rsidR="00BF044B">
        <w:rPr>
          <w:rFonts w:asciiTheme="majorHAnsi" w:hAnsiTheme="majorHAnsi"/>
          <w:szCs w:val="22"/>
        </w:rPr>
        <w:t>the Agencies</w:t>
      </w:r>
      <w:r>
        <w:rPr>
          <w:rFonts w:asciiTheme="majorHAnsi" w:hAnsiTheme="majorHAnsi"/>
          <w:szCs w:val="22"/>
        </w:rPr>
        <w:t xml:space="preserve"> produce at least 2,000 acre-ft/yr for the foreseeable future coupled with the groundwater and surface</w:t>
      </w:r>
      <w:r w:rsidR="00A252E1">
        <w:rPr>
          <w:rFonts w:asciiTheme="majorHAnsi" w:hAnsiTheme="majorHAnsi"/>
          <w:szCs w:val="22"/>
        </w:rPr>
        <w:t>-</w:t>
      </w:r>
      <w:r>
        <w:rPr>
          <w:rFonts w:asciiTheme="majorHAnsi" w:hAnsiTheme="majorHAnsi"/>
          <w:szCs w:val="22"/>
        </w:rPr>
        <w:t>water monitoring programs described below</w:t>
      </w:r>
      <w:commentRangeEnd w:id="53"/>
      <w:r w:rsidR="007C76E2">
        <w:rPr>
          <w:rStyle w:val="CommentReference"/>
        </w:rPr>
        <w:commentReference w:id="53"/>
      </w:r>
      <w:r>
        <w:rPr>
          <w:rFonts w:asciiTheme="majorHAnsi" w:hAnsiTheme="majorHAnsi"/>
          <w:szCs w:val="22"/>
        </w:rPr>
        <w:t>.</w:t>
      </w:r>
      <w:r w:rsidR="00A54C21">
        <w:rPr>
          <w:rFonts w:asciiTheme="majorHAnsi" w:hAnsiTheme="majorHAnsi"/>
          <w:szCs w:val="22"/>
        </w:rPr>
        <w:t xml:space="preserve"> </w:t>
      </w:r>
      <w:r>
        <w:rPr>
          <w:rFonts w:asciiTheme="majorHAnsi" w:hAnsiTheme="majorHAnsi"/>
          <w:szCs w:val="22"/>
        </w:rPr>
        <w:t xml:space="preserve">The results of the monitoring programs can be </w:t>
      </w:r>
      <w:r w:rsidRPr="000B5AB6">
        <w:rPr>
          <w:rFonts w:asciiTheme="majorHAnsi" w:hAnsiTheme="majorHAnsi"/>
          <w:szCs w:val="22"/>
        </w:rPr>
        <w:t>u</w:t>
      </w:r>
      <w:r w:rsidR="00A54C21" w:rsidRPr="000B5AB6">
        <w:rPr>
          <w:rFonts w:asciiTheme="majorHAnsi" w:hAnsiTheme="majorHAnsi"/>
          <w:szCs w:val="22"/>
        </w:rPr>
        <w:t>s</w:t>
      </w:r>
      <w:r w:rsidRPr="000B5AB6">
        <w:rPr>
          <w:rFonts w:asciiTheme="majorHAnsi" w:hAnsiTheme="majorHAnsi"/>
          <w:szCs w:val="22"/>
        </w:rPr>
        <w:t>ed</w:t>
      </w:r>
      <w:r>
        <w:rPr>
          <w:rFonts w:asciiTheme="majorHAnsi" w:hAnsiTheme="majorHAnsi"/>
          <w:szCs w:val="22"/>
        </w:rPr>
        <w:t xml:space="preserve"> to fine tune this production recommendation with the goal of increasing sustainable production</w:t>
      </w:r>
      <w:r w:rsidR="00317E12">
        <w:rPr>
          <w:rFonts w:asciiTheme="majorHAnsi" w:hAnsiTheme="majorHAnsi"/>
          <w:szCs w:val="22"/>
        </w:rPr>
        <w:t>.</w:t>
      </w:r>
    </w:p>
    <w:p w14:paraId="0952BAA4" w14:textId="25F121BB" w:rsidR="0018104F" w:rsidRPr="007D0DBA" w:rsidRDefault="0018104F" w:rsidP="00317E12">
      <w:pPr>
        <w:pStyle w:val="Heading4"/>
      </w:pPr>
      <w:bookmarkStart w:id="54" w:name="_Toc427921446"/>
      <w:r w:rsidRPr="007D0DBA">
        <w:t xml:space="preserve">Develop a </w:t>
      </w:r>
      <w:r w:rsidR="00A54C21">
        <w:t>G</w:t>
      </w:r>
      <w:r w:rsidR="00A54C21" w:rsidRPr="007D0DBA">
        <w:t xml:space="preserve">roundwater </w:t>
      </w:r>
      <w:r w:rsidR="00A54C21">
        <w:t>L</w:t>
      </w:r>
      <w:r w:rsidR="00A54C21" w:rsidRPr="007D0DBA">
        <w:t xml:space="preserve">evel </w:t>
      </w:r>
      <w:r w:rsidR="00A54C21">
        <w:t>M</w:t>
      </w:r>
      <w:r w:rsidRPr="007D0DBA">
        <w:t xml:space="preserve">onitoring </w:t>
      </w:r>
      <w:r w:rsidR="00A54C21">
        <w:t>P</w:t>
      </w:r>
      <w:r w:rsidRPr="007D0DBA">
        <w:t>rogram</w:t>
      </w:r>
      <w:bookmarkEnd w:id="54"/>
    </w:p>
    <w:p w14:paraId="298963C8" w14:textId="57523857" w:rsidR="000218E4" w:rsidRDefault="000B5AB6" w:rsidP="000B5AB6">
      <w:pPr>
        <w:spacing w:after="200" w:line="240" w:lineRule="auto"/>
        <w:rPr>
          <w:rFonts w:asciiTheme="majorHAnsi" w:hAnsiTheme="majorHAnsi"/>
        </w:rPr>
      </w:pPr>
      <w:r>
        <w:rPr>
          <w:rFonts w:asciiTheme="majorHAnsi" w:hAnsiTheme="majorHAnsi"/>
        </w:rPr>
        <w:t>Over the last five years</w:t>
      </w:r>
      <w:r w:rsidR="00391836" w:rsidRPr="00391836">
        <w:rPr>
          <w:rFonts w:asciiTheme="majorHAnsi" w:hAnsiTheme="majorHAnsi"/>
        </w:rPr>
        <w:t xml:space="preserve">, groundwater levels within the Bedford Basin </w:t>
      </w:r>
      <w:r>
        <w:rPr>
          <w:rFonts w:asciiTheme="majorHAnsi" w:hAnsiTheme="majorHAnsi"/>
        </w:rPr>
        <w:t>have</w:t>
      </w:r>
      <w:r w:rsidRPr="00391836">
        <w:rPr>
          <w:rFonts w:asciiTheme="majorHAnsi" w:hAnsiTheme="majorHAnsi"/>
        </w:rPr>
        <w:t xml:space="preserve"> </w:t>
      </w:r>
      <w:r>
        <w:rPr>
          <w:rFonts w:asciiTheme="majorHAnsi" w:hAnsiTheme="majorHAnsi"/>
        </w:rPr>
        <w:t>be</w:t>
      </w:r>
      <w:r w:rsidR="005E3441">
        <w:rPr>
          <w:rFonts w:asciiTheme="majorHAnsi" w:hAnsiTheme="majorHAnsi"/>
        </w:rPr>
        <w:t>en</w:t>
      </w:r>
      <w:r>
        <w:rPr>
          <w:rFonts w:asciiTheme="majorHAnsi" w:hAnsiTheme="majorHAnsi"/>
        </w:rPr>
        <w:t xml:space="preserve"> </w:t>
      </w:r>
      <w:r w:rsidR="00391836" w:rsidRPr="00391836">
        <w:rPr>
          <w:rFonts w:asciiTheme="majorHAnsi" w:hAnsiTheme="majorHAnsi"/>
        </w:rPr>
        <w:t>monitored on a monthly interval</w:t>
      </w:r>
      <w:r w:rsidR="000218E4">
        <w:rPr>
          <w:rFonts w:asciiTheme="majorHAnsi" w:hAnsiTheme="majorHAnsi"/>
        </w:rPr>
        <w:t xml:space="preserve"> for some wells</w:t>
      </w:r>
      <w:r w:rsidR="00391836" w:rsidRPr="00391836">
        <w:rPr>
          <w:rFonts w:asciiTheme="majorHAnsi" w:hAnsiTheme="majorHAnsi"/>
        </w:rPr>
        <w:t xml:space="preserve">. </w:t>
      </w:r>
      <w:r w:rsidR="0018104F" w:rsidRPr="00391836">
        <w:rPr>
          <w:rFonts w:asciiTheme="majorHAnsi" w:hAnsiTheme="majorHAnsi"/>
        </w:rPr>
        <w:t xml:space="preserve">A water-level monitoring program should be implemented </w:t>
      </w:r>
      <w:r w:rsidR="0084515D" w:rsidRPr="00391836">
        <w:rPr>
          <w:rFonts w:asciiTheme="majorHAnsi" w:hAnsiTheme="majorHAnsi"/>
        </w:rPr>
        <w:t xml:space="preserve">for all </w:t>
      </w:r>
      <w:r w:rsidR="00391836" w:rsidRPr="00391836">
        <w:rPr>
          <w:rFonts w:asciiTheme="majorHAnsi" w:hAnsiTheme="majorHAnsi"/>
        </w:rPr>
        <w:t>Corona, EVMWD, and LLWD-owned wells</w:t>
      </w:r>
      <w:r w:rsidR="00F4192D">
        <w:rPr>
          <w:rFonts w:asciiTheme="majorHAnsi" w:hAnsiTheme="majorHAnsi"/>
        </w:rPr>
        <w:t>,</w:t>
      </w:r>
      <w:r w:rsidR="0084515D" w:rsidRPr="00391836">
        <w:rPr>
          <w:rFonts w:asciiTheme="majorHAnsi" w:hAnsiTheme="majorHAnsi"/>
        </w:rPr>
        <w:t xml:space="preserve"> </w:t>
      </w:r>
      <w:r w:rsidR="000218E4">
        <w:rPr>
          <w:rFonts w:asciiTheme="majorHAnsi" w:hAnsiTheme="majorHAnsi"/>
        </w:rPr>
        <w:t>and potentially other private wells in</w:t>
      </w:r>
      <w:r w:rsidR="000218E4" w:rsidRPr="00391836">
        <w:rPr>
          <w:rFonts w:asciiTheme="majorHAnsi" w:hAnsiTheme="majorHAnsi"/>
        </w:rPr>
        <w:t xml:space="preserve"> </w:t>
      </w:r>
      <w:r w:rsidR="0084515D" w:rsidRPr="00391836">
        <w:rPr>
          <w:rFonts w:asciiTheme="majorHAnsi" w:hAnsiTheme="majorHAnsi"/>
        </w:rPr>
        <w:t xml:space="preserve">the Bedford Basin. </w:t>
      </w:r>
      <w:r w:rsidR="000218E4">
        <w:rPr>
          <w:rFonts w:asciiTheme="majorHAnsi" w:hAnsiTheme="majorHAnsi"/>
        </w:rPr>
        <w:t>This monitoring plan should have the following features:</w:t>
      </w:r>
    </w:p>
    <w:p w14:paraId="63A5B42C" w14:textId="5F2F94C3" w:rsidR="000218E4" w:rsidRPr="00697AD6" w:rsidRDefault="000218E4" w:rsidP="00697AD6">
      <w:pPr>
        <w:pStyle w:val="ListParagraph"/>
        <w:numPr>
          <w:ilvl w:val="0"/>
          <w:numId w:val="45"/>
        </w:numPr>
        <w:spacing w:after="200" w:line="240" w:lineRule="auto"/>
        <w:rPr>
          <w:rFonts w:asciiTheme="majorHAnsi" w:hAnsiTheme="majorHAnsi"/>
        </w:rPr>
      </w:pPr>
      <w:r w:rsidRPr="00697AD6">
        <w:rPr>
          <w:rFonts w:asciiTheme="majorHAnsi" w:hAnsiTheme="majorHAnsi"/>
        </w:rPr>
        <w:t>The Basin should be canvassed to identify all wells in the basin that can be used t</w:t>
      </w:r>
      <w:r w:rsidR="00F4192D">
        <w:rPr>
          <w:rFonts w:asciiTheme="majorHAnsi" w:hAnsiTheme="majorHAnsi"/>
        </w:rPr>
        <w:t>o</w:t>
      </w:r>
      <w:r w:rsidRPr="00697AD6">
        <w:rPr>
          <w:rFonts w:asciiTheme="majorHAnsi" w:hAnsiTheme="majorHAnsi"/>
        </w:rPr>
        <w:t xml:space="preserve"> measure groundwater levels and obtain water quality samples.</w:t>
      </w:r>
      <w:r w:rsidR="00613777">
        <w:rPr>
          <w:rFonts w:asciiTheme="majorHAnsi" w:hAnsiTheme="majorHAnsi"/>
        </w:rPr>
        <w:t xml:space="preserve"> </w:t>
      </w:r>
      <w:r w:rsidR="002D7239">
        <w:rPr>
          <w:rFonts w:asciiTheme="majorHAnsi" w:hAnsiTheme="majorHAnsi"/>
        </w:rPr>
        <w:t>From these wells, d</w:t>
      </w:r>
      <w:r w:rsidRPr="00697AD6">
        <w:rPr>
          <w:rFonts w:asciiTheme="majorHAnsi" w:hAnsiTheme="majorHAnsi"/>
        </w:rPr>
        <w:t>etermine which well</w:t>
      </w:r>
      <w:r w:rsidR="001E1730">
        <w:rPr>
          <w:rFonts w:asciiTheme="majorHAnsi" w:hAnsiTheme="majorHAnsi"/>
        </w:rPr>
        <w:t>s</w:t>
      </w:r>
      <w:r w:rsidRPr="00697AD6">
        <w:rPr>
          <w:rFonts w:asciiTheme="majorHAnsi" w:hAnsiTheme="majorHAnsi"/>
        </w:rPr>
        <w:t xml:space="preserve"> should be used for monitoring.</w:t>
      </w:r>
    </w:p>
    <w:p w14:paraId="2A526635" w14:textId="59102EAB" w:rsidR="00697AD6" w:rsidRPr="00697AD6" w:rsidRDefault="000218E4" w:rsidP="00697AD6">
      <w:pPr>
        <w:pStyle w:val="ListParagraph"/>
        <w:numPr>
          <w:ilvl w:val="0"/>
          <w:numId w:val="45"/>
        </w:numPr>
        <w:spacing w:after="200" w:line="240" w:lineRule="auto"/>
        <w:rPr>
          <w:rFonts w:asciiTheme="majorHAnsi" w:hAnsiTheme="majorHAnsi"/>
        </w:rPr>
      </w:pPr>
      <w:r w:rsidRPr="00697AD6">
        <w:rPr>
          <w:rFonts w:asciiTheme="majorHAnsi" w:hAnsiTheme="majorHAnsi"/>
        </w:rPr>
        <w:t xml:space="preserve">Equip each well selected for monitoring with </w:t>
      </w:r>
      <w:r w:rsidR="002D7239">
        <w:rPr>
          <w:rFonts w:asciiTheme="majorHAnsi" w:hAnsiTheme="majorHAnsi"/>
        </w:rPr>
        <w:t xml:space="preserve">a </w:t>
      </w:r>
      <w:r w:rsidRPr="00697AD6">
        <w:rPr>
          <w:rFonts w:asciiTheme="majorHAnsi" w:hAnsiTheme="majorHAnsi"/>
        </w:rPr>
        <w:t xml:space="preserve">probe that can measure groundwater level (transducer), temperature, and conductance. </w:t>
      </w:r>
    </w:p>
    <w:p w14:paraId="72C9B8C5" w14:textId="0CCD3E37" w:rsidR="00697AD6" w:rsidRPr="00697AD6" w:rsidRDefault="00697AD6" w:rsidP="00697AD6">
      <w:pPr>
        <w:pStyle w:val="ListParagraph"/>
        <w:numPr>
          <w:ilvl w:val="0"/>
          <w:numId w:val="45"/>
        </w:numPr>
        <w:spacing w:after="200" w:line="240" w:lineRule="auto"/>
        <w:rPr>
          <w:rFonts w:asciiTheme="majorHAnsi" w:hAnsiTheme="majorHAnsi"/>
        </w:rPr>
      </w:pPr>
      <w:r w:rsidRPr="00697AD6">
        <w:rPr>
          <w:rFonts w:asciiTheme="majorHAnsi" w:hAnsiTheme="majorHAnsi"/>
        </w:rPr>
        <w:t>Download the data monthly for the first six months and subsequently at</w:t>
      </w:r>
      <w:r w:rsidR="001E1730">
        <w:rPr>
          <w:rFonts w:asciiTheme="majorHAnsi" w:hAnsiTheme="majorHAnsi"/>
        </w:rPr>
        <w:t xml:space="preserve"> a</w:t>
      </w:r>
      <w:r w:rsidRPr="00697AD6">
        <w:rPr>
          <w:rFonts w:asciiTheme="majorHAnsi" w:hAnsiTheme="majorHAnsi"/>
        </w:rPr>
        <w:t xml:space="preserve"> reduced frequency to be determined after the</w:t>
      </w:r>
      <w:r w:rsidR="001E1730">
        <w:rPr>
          <w:rFonts w:asciiTheme="majorHAnsi" w:hAnsiTheme="majorHAnsi"/>
        </w:rPr>
        <w:t xml:space="preserve"> initial</w:t>
      </w:r>
      <w:r w:rsidRPr="00697AD6">
        <w:rPr>
          <w:rFonts w:asciiTheme="majorHAnsi" w:hAnsiTheme="majorHAnsi"/>
        </w:rPr>
        <w:t xml:space="preserve"> </w:t>
      </w:r>
      <w:r w:rsidR="00FC5E72" w:rsidRPr="00697AD6">
        <w:rPr>
          <w:rFonts w:asciiTheme="majorHAnsi" w:hAnsiTheme="majorHAnsi"/>
        </w:rPr>
        <w:t>six-month</w:t>
      </w:r>
      <w:r w:rsidRPr="00697AD6">
        <w:rPr>
          <w:rFonts w:asciiTheme="majorHAnsi" w:hAnsiTheme="majorHAnsi"/>
        </w:rPr>
        <w:t xml:space="preserve"> period.</w:t>
      </w:r>
    </w:p>
    <w:p w14:paraId="45CEDE00" w14:textId="3F6AD5C8" w:rsidR="0018104F" w:rsidRPr="00391836" w:rsidRDefault="00697AD6" w:rsidP="000B5AB6">
      <w:pPr>
        <w:spacing w:after="200" w:line="240" w:lineRule="auto"/>
        <w:rPr>
          <w:rFonts w:asciiTheme="majorHAnsi" w:hAnsiTheme="majorHAnsi"/>
        </w:rPr>
      </w:pPr>
      <w:r>
        <w:rPr>
          <w:rFonts w:asciiTheme="majorHAnsi" w:hAnsiTheme="majorHAnsi"/>
        </w:rPr>
        <w:t xml:space="preserve">This program would run indefinitely and would be refined over time to ensure that </w:t>
      </w:r>
      <w:r w:rsidR="00BC3F7F">
        <w:rPr>
          <w:rFonts w:asciiTheme="majorHAnsi" w:hAnsiTheme="majorHAnsi"/>
        </w:rPr>
        <w:t xml:space="preserve">the acquired </w:t>
      </w:r>
      <w:r>
        <w:rPr>
          <w:rFonts w:asciiTheme="majorHAnsi" w:hAnsiTheme="majorHAnsi"/>
        </w:rPr>
        <w:t xml:space="preserve">data </w:t>
      </w:r>
      <w:r w:rsidR="00BC3F7F">
        <w:rPr>
          <w:rFonts w:asciiTheme="majorHAnsi" w:hAnsiTheme="majorHAnsi"/>
        </w:rPr>
        <w:t xml:space="preserve">were </w:t>
      </w:r>
      <w:r>
        <w:rPr>
          <w:rFonts w:asciiTheme="majorHAnsi" w:hAnsiTheme="majorHAnsi"/>
        </w:rPr>
        <w:t xml:space="preserve">satisfying </w:t>
      </w:r>
      <w:r w:rsidR="00BC3F7F">
        <w:rPr>
          <w:rFonts w:asciiTheme="majorHAnsi" w:hAnsiTheme="majorHAnsi"/>
        </w:rPr>
        <w:t xml:space="preserve">the </w:t>
      </w:r>
      <w:r>
        <w:rPr>
          <w:rFonts w:asciiTheme="majorHAnsi" w:hAnsiTheme="majorHAnsi"/>
        </w:rPr>
        <w:t>groundwater management requirements and to minimize cost</w:t>
      </w:r>
      <w:r w:rsidR="00BC3F7F">
        <w:rPr>
          <w:rFonts w:asciiTheme="majorHAnsi" w:hAnsiTheme="majorHAnsi"/>
        </w:rPr>
        <w:t>s</w:t>
      </w:r>
      <w:r>
        <w:rPr>
          <w:rFonts w:asciiTheme="majorHAnsi" w:hAnsiTheme="majorHAnsi"/>
        </w:rPr>
        <w:t>.</w:t>
      </w:r>
      <w:r w:rsidR="00613777">
        <w:rPr>
          <w:rFonts w:asciiTheme="majorHAnsi" w:hAnsiTheme="majorHAnsi"/>
        </w:rPr>
        <w:t xml:space="preserve"> </w:t>
      </w:r>
      <w:r>
        <w:rPr>
          <w:rFonts w:asciiTheme="majorHAnsi" w:hAnsiTheme="majorHAnsi"/>
        </w:rPr>
        <w:t>The probes would be programmed to acquire h</w:t>
      </w:r>
      <w:r w:rsidR="0084515D" w:rsidRPr="00391836">
        <w:rPr>
          <w:rFonts w:asciiTheme="majorHAnsi" w:hAnsiTheme="majorHAnsi"/>
        </w:rPr>
        <w:t>igh</w:t>
      </w:r>
      <w:r w:rsidR="00A54C21">
        <w:rPr>
          <w:rFonts w:asciiTheme="majorHAnsi" w:hAnsiTheme="majorHAnsi"/>
        </w:rPr>
        <w:t>-</w:t>
      </w:r>
      <w:r w:rsidR="0084515D" w:rsidRPr="00391836">
        <w:rPr>
          <w:rFonts w:asciiTheme="majorHAnsi" w:hAnsiTheme="majorHAnsi"/>
        </w:rPr>
        <w:t>frequency groundwater level</w:t>
      </w:r>
      <w:r>
        <w:rPr>
          <w:rFonts w:asciiTheme="majorHAnsi" w:hAnsiTheme="majorHAnsi"/>
        </w:rPr>
        <w:t>, temperature</w:t>
      </w:r>
      <w:r w:rsidR="00BC3F7F">
        <w:rPr>
          <w:rFonts w:asciiTheme="majorHAnsi" w:hAnsiTheme="majorHAnsi"/>
        </w:rPr>
        <w:t>,</w:t>
      </w:r>
      <w:r>
        <w:rPr>
          <w:rFonts w:asciiTheme="majorHAnsi" w:hAnsiTheme="majorHAnsi"/>
        </w:rPr>
        <w:t xml:space="preserve"> and conductance</w:t>
      </w:r>
      <w:r w:rsidR="0084515D" w:rsidRPr="00391836">
        <w:rPr>
          <w:rFonts w:asciiTheme="majorHAnsi" w:hAnsiTheme="majorHAnsi"/>
        </w:rPr>
        <w:t xml:space="preserve"> measurements </w:t>
      </w:r>
      <w:r>
        <w:rPr>
          <w:rFonts w:asciiTheme="majorHAnsi" w:hAnsiTheme="majorHAnsi"/>
        </w:rPr>
        <w:t xml:space="preserve">that can be </w:t>
      </w:r>
      <w:r w:rsidR="008D3D66">
        <w:rPr>
          <w:rFonts w:asciiTheme="majorHAnsi" w:hAnsiTheme="majorHAnsi"/>
        </w:rPr>
        <w:t xml:space="preserve">coupled with precipitation and stream discharge records to determine precisely where and how recharge occurs, the relationship of rising groundwater to groundwater levels and production, </w:t>
      </w:r>
      <w:r w:rsidR="00BC3F7F">
        <w:rPr>
          <w:rFonts w:asciiTheme="majorHAnsi" w:hAnsiTheme="majorHAnsi"/>
        </w:rPr>
        <w:t xml:space="preserve">and </w:t>
      </w:r>
      <w:r>
        <w:rPr>
          <w:rFonts w:asciiTheme="majorHAnsi" w:hAnsiTheme="majorHAnsi"/>
        </w:rPr>
        <w:t>the timing and magnitude of consumptive use of riparian vegetation. This information is required to</w:t>
      </w:r>
      <w:r w:rsidR="008D3D66">
        <w:rPr>
          <w:rFonts w:asciiTheme="majorHAnsi" w:hAnsiTheme="majorHAnsi"/>
        </w:rPr>
        <w:t xml:space="preserve"> </w:t>
      </w:r>
      <w:r>
        <w:rPr>
          <w:rFonts w:asciiTheme="majorHAnsi" w:hAnsiTheme="majorHAnsi"/>
        </w:rPr>
        <w:t xml:space="preserve">assess and </w:t>
      </w:r>
      <w:r w:rsidR="008D3D66">
        <w:rPr>
          <w:rFonts w:asciiTheme="majorHAnsi" w:hAnsiTheme="majorHAnsi"/>
        </w:rPr>
        <w:t xml:space="preserve">maximize the </w:t>
      </w:r>
      <w:r>
        <w:rPr>
          <w:rFonts w:asciiTheme="majorHAnsi" w:hAnsiTheme="majorHAnsi"/>
        </w:rPr>
        <w:t xml:space="preserve">sustainable </w:t>
      </w:r>
      <w:r w:rsidR="008D3D66">
        <w:rPr>
          <w:rFonts w:asciiTheme="majorHAnsi" w:hAnsiTheme="majorHAnsi"/>
        </w:rPr>
        <w:t>yield of the basin during wet and dry periods</w:t>
      </w:r>
      <w:r>
        <w:rPr>
          <w:rFonts w:asciiTheme="majorHAnsi" w:hAnsiTheme="majorHAnsi"/>
        </w:rPr>
        <w:t xml:space="preserve"> and to minimize the risk of stranding capital assets. </w:t>
      </w:r>
      <w:r w:rsidR="00FC5E72">
        <w:rPr>
          <w:rFonts w:asciiTheme="majorHAnsi" w:hAnsiTheme="majorHAnsi"/>
        </w:rPr>
        <w:t xml:space="preserve">Based on the current understanding of the location of wells in the </w:t>
      </w:r>
      <w:r w:rsidR="002D7239">
        <w:rPr>
          <w:rFonts w:asciiTheme="majorHAnsi" w:hAnsiTheme="majorHAnsi"/>
        </w:rPr>
        <w:t xml:space="preserve">Bedford </w:t>
      </w:r>
      <w:r w:rsidR="00FC5E72">
        <w:rPr>
          <w:rFonts w:asciiTheme="majorHAnsi" w:hAnsiTheme="majorHAnsi"/>
        </w:rPr>
        <w:t>Basin</w:t>
      </w:r>
      <w:r w:rsidR="00BC3F7F">
        <w:rPr>
          <w:rFonts w:asciiTheme="majorHAnsi" w:hAnsiTheme="majorHAnsi"/>
        </w:rPr>
        <w:t>,</w:t>
      </w:r>
      <w:r w:rsidR="00FC5E72">
        <w:rPr>
          <w:rFonts w:asciiTheme="majorHAnsi" w:hAnsiTheme="majorHAnsi"/>
        </w:rPr>
        <w:t xml:space="preserve"> a minimum of </w:t>
      </w:r>
      <w:r w:rsidR="00035926">
        <w:rPr>
          <w:rFonts w:asciiTheme="majorHAnsi" w:hAnsiTheme="majorHAnsi"/>
        </w:rPr>
        <w:t>12</w:t>
      </w:r>
      <w:r w:rsidR="00FC5E72">
        <w:rPr>
          <w:rFonts w:asciiTheme="majorHAnsi" w:hAnsiTheme="majorHAnsi"/>
        </w:rPr>
        <w:t xml:space="preserve"> probes should be should be deployed as listed in Table 5-1.</w:t>
      </w:r>
    </w:p>
    <w:p w14:paraId="2C277739" w14:textId="6A5C78D7" w:rsidR="000A1DA0" w:rsidRPr="007D0DBA" w:rsidRDefault="000A1DA0" w:rsidP="00317E12">
      <w:pPr>
        <w:pStyle w:val="Heading4"/>
      </w:pPr>
      <w:bookmarkStart w:id="55" w:name="_Toc427921447"/>
      <w:r w:rsidRPr="007D0DBA">
        <w:t xml:space="preserve">Develop a </w:t>
      </w:r>
      <w:r w:rsidR="00A54C21">
        <w:t>G</w:t>
      </w:r>
      <w:r w:rsidR="00A54C21" w:rsidRPr="007D0DBA">
        <w:t xml:space="preserve">roundwater </w:t>
      </w:r>
      <w:r w:rsidR="00A54C21">
        <w:t>Q</w:t>
      </w:r>
      <w:r w:rsidR="00A54C21" w:rsidRPr="007D0DBA">
        <w:t xml:space="preserve">uality </w:t>
      </w:r>
      <w:r w:rsidR="00A54C21">
        <w:t>M</w:t>
      </w:r>
      <w:r w:rsidR="00A54C21" w:rsidRPr="007D0DBA">
        <w:t xml:space="preserve">onitoring </w:t>
      </w:r>
      <w:r w:rsidR="00A54C21">
        <w:t>P</w:t>
      </w:r>
      <w:r w:rsidR="00A54C21" w:rsidRPr="007D0DBA">
        <w:t>rogram</w:t>
      </w:r>
      <w:bookmarkEnd w:id="55"/>
    </w:p>
    <w:p w14:paraId="01159BA7" w14:textId="7F31A6A7" w:rsidR="000A1DA0" w:rsidRDefault="006B66F1" w:rsidP="00AB7B04">
      <w:pPr>
        <w:spacing w:after="200" w:line="240" w:lineRule="auto"/>
        <w:rPr>
          <w:rFonts w:asciiTheme="majorHAnsi" w:hAnsiTheme="majorHAnsi"/>
        </w:rPr>
      </w:pPr>
      <w:r>
        <w:rPr>
          <w:rFonts w:asciiTheme="majorHAnsi" w:hAnsiTheme="majorHAnsi"/>
        </w:rPr>
        <w:t>G</w:t>
      </w:r>
      <w:r w:rsidR="004B1BC5">
        <w:rPr>
          <w:rFonts w:asciiTheme="majorHAnsi" w:hAnsiTheme="majorHAnsi"/>
        </w:rPr>
        <w:t xml:space="preserve">roundwater quality sampling </w:t>
      </w:r>
      <w:r w:rsidR="00981E9B">
        <w:rPr>
          <w:rFonts w:asciiTheme="majorHAnsi" w:hAnsiTheme="majorHAnsi"/>
        </w:rPr>
        <w:t xml:space="preserve">from wells </w:t>
      </w:r>
      <w:r w:rsidR="004B1BC5">
        <w:rPr>
          <w:rFonts w:asciiTheme="majorHAnsi" w:hAnsiTheme="majorHAnsi"/>
        </w:rPr>
        <w:t xml:space="preserve">within the Bedford Basin is </w:t>
      </w:r>
      <w:r w:rsidR="00B104E7">
        <w:rPr>
          <w:rFonts w:asciiTheme="majorHAnsi" w:hAnsiTheme="majorHAnsi"/>
        </w:rPr>
        <w:t xml:space="preserve">generally </w:t>
      </w:r>
      <w:r w:rsidR="004B1BC5">
        <w:rPr>
          <w:rFonts w:asciiTheme="majorHAnsi" w:hAnsiTheme="majorHAnsi"/>
        </w:rPr>
        <w:t xml:space="preserve">limited to </w:t>
      </w:r>
      <w:r w:rsidR="00D800BF">
        <w:rPr>
          <w:rFonts w:asciiTheme="majorHAnsi" w:hAnsiTheme="majorHAnsi"/>
        </w:rPr>
        <w:t>inorganic constituents (metals, major anions, and general minerals)</w:t>
      </w:r>
      <w:r w:rsidR="00665416">
        <w:rPr>
          <w:rFonts w:asciiTheme="majorHAnsi" w:hAnsiTheme="majorHAnsi"/>
        </w:rPr>
        <w:t>.</w:t>
      </w:r>
      <w:r w:rsidR="00614582" w:rsidRPr="00035926">
        <w:rPr>
          <w:rFonts w:asciiTheme="majorHAnsi" w:hAnsiTheme="majorHAnsi"/>
          <w:vertAlign w:val="superscript"/>
        </w:rPr>
        <w:t>16</w:t>
      </w:r>
      <w:r w:rsidR="008334E5">
        <w:rPr>
          <w:rFonts w:asciiTheme="majorHAnsi" w:hAnsiTheme="majorHAnsi"/>
        </w:rPr>
        <w:t xml:space="preserve"> </w:t>
      </w:r>
      <w:r w:rsidR="005E3441">
        <w:rPr>
          <w:rFonts w:asciiTheme="majorHAnsi" w:hAnsiTheme="majorHAnsi"/>
        </w:rPr>
        <w:t xml:space="preserve">WEI’s </w:t>
      </w:r>
      <w:r w:rsidR="008334E5">
        <w:rPr>
          <w:rFonts w:asciiTheme="majorHAnsi" w:hAnsiTheme="majorHAnsi"/>
        </w:rPr>
        <w:t xml:space="preserve">water quality database indicates </w:t>
      </w:r>
      <w:r w:rsidR="00665416">
        <w:rPr>
          <w:rFonts w:asciiTheme="majorHAnsi" w:hAnsiTheme="majorHAnsi"/>
        </w:rPr>
        <w:t xml:space="preserve">that </w:t>
      </w:r>
      <w:r w:rsidR="008334E5">
        <w:rPr>
          <w:rFonts w:asciiTheme="majorHAnsi" w:hAnsiTheme="majorHAnsi"/>
        </w:rPr>
        <w:t xml:space="preserve">only Flagler </w:t>
      </w:r>
      <w:r w:rsidR="00665416">
        <w:rPr>
          <w:rFonts w:asciiTheme="majorHAnsi" w:hAnsiTheme="majorHAnsi"/>
        </w:rPr>
        <w:t xml:space="preserve">wells </w:t>
      </w:r>
      <w:r w:rsidR="008334E5">
        <w:rPr>
          <w:rFonts w:asciiTheme="majorHAnsi" w:hAnsiTheme="majorHAnsi"/>
        </w:rPr>
        <w:t xml:space="preserve">2A and 3A </w:t>
      </w:r>
      <w:r w:rsidR="00665416">
        <w:rPr>
          <w:rFonts w:asciiTheme="majorHAnsi" w:hAnsiTheme="majorHAnsi"/>
        </w:rPr>
        <w:t xml:space="preserve">were </w:t>
      </w:r>
      <w:r w:rsidR="008334E5">
        <w:rPr>
          <w:rFonts w:asciiTheme="majorHAnsi" w:hAnsiTheme="majorHAnsi"/>
        </w:rPr>
        <w:t xml:space="preserve">analyzed </w:t>
      </w:r>
      <w:r w:rsidR="00B104E7">
        <w:rPr>
          <w:rFonts w:asciiTheme="majorHAnsi" w:hAnsiTheme="majorHAnsi"/>
        </w:rPr>
        <w:t xml:space="preserve">in 2013 </w:t>
      </w:r>
      <w:r w:rsidR="00D800BF">
        <w:rPr>
          <w:rFonts w:asciiTheme="majorHAnsi" w:hAnsiTheme="majorHAnsi"/>
        </w:rPr>
        <w:t xml:space="preserve">and 2014 </w:t>
      </w:r>
      <w:r w:rsidR="008334E5">
        <w:rPr>
          <w:rFonts w:asciiTheme="majorHAnsi" w:hAnsiTheme="majorHAnsi"/>
        </w:rPr>
        <w:t>for constituents under the Title 22 California</w:t>
      </w:r>
      <w:r w:rsidR="00AB7B04">
        <w:rPr>
          <w:rFonts w:asciiTheme="majorHAnsi" w:hAnsiTheme="majorHAnsi"/>
        </w:rPr>
        <w:t xml:space="preserve"> Code of Regulations for Drinking Water Standards</w:t>
      </w:r>
      <w:r w:rsidR="008334E5">
        <w:rPr>
          <w:rFonts w:asciiTheme="majorHAnsi" w:hAnsiTheme="majorHAnsi"/>
        </w:rPr>
        <w:t xml:space="preserve">. </w:t>
      </w:r>
      <w:r w:rsidR="00665416">
        <w:rPr>
          <w:rFonts w:asciiTheme="majorHAnsi" w:hAnsiTheme="majorHAnsi"/>
        </w:rPr>
        <w:t xml:space="preserve">WEI </w:t>
      </w:r>
      <w:r w:rsidR="008D3D66">
        <w:rPr>
          <w:rFonts w:asciiTheme="majorHAnsi" w:hAnsiTheme="majorHAnsi"/>
        </w:rPr>
        <w:t>recommend</w:t>
      </w:r>
      <w:r w:rsidR="00665416">
        <w:rPr>
          <w:rFonts w:asciiTheme="majorHAnsi" w:hAnsiTheme="majorHAnsi"/>
        </w:rPr>
        <w:t>s</w:t>
      </w:r>
      <w:r w:rsidR="008D3D66">
        <w:rPr>
          <w:rFonts w:asciiTheme="majorHAnsi" w:hAnsiTheme="majorHAnsi"/>
        </w:rPr>
        <w:t xml:space="preserve"> that all </w:t>
      </w:r>
      <w:r w:rsidR="00CB364A">
        <w:rPr>
          <w:rFonts w:asciiTheme="majorHAnsi" w:hAnsiTheme="majorHAnsi"/>
        </w:rPr>
        <w:t xml:space="preserve">active </w:t>
      </w:r>
      <w:r w:rsidR="008D3D66">
        <w:rPr>
          <w:rFonts w:asciiTheme="majorHAnsi" w:hAnsiTheme="majorHAnsi"/>
        </w:rPr>
        <w:t xml:space="preserve">wells </w:t>
      </w:r>
      <w:r w:rsidR="00AB7B04">
        <w:rPr>
          <w:rFonts w:asciiTheme="majorHAnsi" w:hAnsiTheme="majorHAnsi"/>
        </w:rPr>
        <w:t>with</w:t>
      </w:r>
      <w:r w:rsidR="008D3D66">
        <w:rPr>
          <w:rFonts w:asciiTheme="majorHAnsi" w:hAnsiTheme="majorHAnsi"/>
        </w:rPr>
        <w:t xml:space="preserve">in the Bedford Basin be sampled and analyzed for </w:t>
      </w:r>
      <w:r w:rsidR="00AB7B04">
        <w:rPr>
          <w:rFonts w:asciiTheme="majorHAnsi" w:hAnsiTheme="majorHAnsi"/>
        </w:rPr>
        <w:t xml:space="preserve">constituents under </w:t>
      </w:r>
      <w:r w:rsidR="00614582">
        <w:rPr>
          <w:rFonts w:asciiTheme="majorHAnsi" w:hAnsiTheme="majorHAnsi"/>
        </w:rPr>
        <w:t xml:space="preserve">the </w:t>
      </w:r>
      <w:r w:rsidR="00AB7B04">
        <w:rPr>
          <w:rFonts w:asciiTheme="majorHAnsi" w:hAnsiTheme="majorHAnsi"/>
        </w:rPr>
        <w:t>Title 22</w:t>
      </w:r>
      <w:r w:rsidR="00D800BF">
        <w:rPr>
          <w:rFonts w:asciiTheme="majorHAnsi" w:hAnsiTheme="majorHAnsi"/>
        </w:rPr>
        <w:t xml:space="preserve"> California Code of Regulations for Drinking Water Standards</w:t>
      </w:r>
      <w:r w:rsidR="00FC5E72">
        <w:rPr>
          <w:rFonts w:asciiTheme="majorHAnsi" w:hAnsiTheme="majorHAnsi"/>
        </w:rPr>
        <w:t>.</w:t>
      </w:r>
      <w:r w:rsidR="00B502DC">
        <w:rPr>
          <w:rFonts w:asciiTheme="majorHAnsi" w:hAnsiTheme="majorHAnsi"/>
        </w:rPr>
        <w:t xml:space="preserve"> </w:t>
      </w:r>
      <w:r w:rsidR="003F3EE3">
        <w:rPr>
          <w:rFonts w:asciiTheme="majorHAnsi" w:hAnsiTheme="majorHAnsi"/>
        </w:rPr>
        <w:t>With this monitoring,</w:t>
      </w:r>
      <w:r w:rsidR="008D3D66">
        <w:rPr>
          <w:rFonts w:asciiTheme="majorHAnsi" w:hAnsiTheme="majorHAnsi"/>
        </w:rPr>
        <w:t xml:space="preserve"> a more complete</w:t>
      </w:r>
      <w:r w:rsidR="002E51EB">
        <w:rPr>
          <w:rFonts w:asciiTheme="majorHAnsi" w:hAnsiTheme="majorHAnsi"/>
        </w:rPr>
        <w:t xml:space="preserve"> assessment of water quality can be made for groundwater </w:t>
      </w:r>
      <w:r w:rsidR="00614582">
        <w:rPr>
          <w:rFonts w:asciiTheme="majorHAnsi" w:hAnsiTheme="majorHAnsi"/>
        </w:rPr>
        <w:t xml:space="preserve">at </w:t>
      </w:r>
      <w:r w:rsidR="002E51EB">
        <w:rPr>
          <w:rFonts w:asciiTheme="majorHAnsi" w:hAnsiTheme="majorHAnsi"/>
        </w:rPr>
        <w:t>existing wells</w:t>
      </w:r>
      <w:r w:rsidR="00665416">
        <w:rPr>
          <w:rFonts w:asciiTheme="majorHAnsi" w:hAnsiTheme="majorHAnsi"/>
        </w:rPr>
        <w:t>,</w:t>
      </w:r>
      <w:r w:rsidR="002E51EB">
        <w:rPr>
          <w:rFonts w:asciiTheme="majorHAnsi" w:hAnsiTheme="majorHAnsi"/>
        </w:rPr>
        <w:t xml:space="preserve"> and a subsequent determination can be made as to the need for additional monitoring wells.</w:t>
      </w:r>
      <w:r w:rsidR="00B502DC">
        <w:rPr>
          <w:rFonts w:asciiTheme="majorHAnsi" w:hAnsiTheme="majorHAnsi"/>
        </w:rPr>
        <w:t xml:space="preserve"> </w:t>
      </w:r>
      <w:r w:rsidR="002E51EB">
        <w:rPr>
          <w:rFonts w:asciiTheme="majorHAnsi" w:hAnsiTheme="majorHAnsi"/>
        </w:rPr>
        <w:t>In total</w:t>
      </w:r>
      <w:r w:rsidR="00665416">
        <w:rPr>
          <w:rFonts w:asciiTheme="majorHAnsi" w:hAnsiTheme="majorHAnsi"/>
        </w:rPr>
        <w:t>,</w:t>
      </w:r>
      <w:r w:rsidR="002E51EB">
        <w:rPr>
          <w:rFonts w:asciiTheme="majorHAnsi" w:hAnsiTheme="majorHAnsi"/>
        </w:rPr>
        <w:t xml:space="preserve"> </w:t>
      </w:r>
      <w:r w:rsidR="00665416">
        <w:rPr>
          <w:rFonts w:asciiTheme="majorHAnsi" w:hAnsiTheme="majorHAnsi"/>
        </w:rPr>
        <w:t xml:space="preserve">WEI </w:t>
      </w:r>
      <w:r w:rsidR="002E51EB">
        <w:rPr>
          <w:rFonts w:asciiTheme="majorHAnsi" w:hAnsiTheme="majorHAnsi"/>
        </w:rPr>
        <w:t>recommend</w:t>
      </w:r>
      <w:r w:rsidR="00665416">
        <w:rPr>
          <w:rFonts w:asciiTheme="majorHAnsi" w:hAnsiTheme="majorHAnsi"/>
        </w:rPr>
        <w:t>s</w:t>
      </w:r>
      <w:r w:rsidR="002E51EB">
        <w:rPr>
          <w:rFonts w:asciiTheme="majorHAnsi" w:hAnsiTheme="majorHAnsi"/>
        </w:rPr>
        <w:t xml:space="preserve"> that </w:t>
      </w:r>
      <w:r w:rsidR="00035926">
        <w:rPr>
          <w:rFonts w:asciiTheme="majorHAnsi" w:hAnsiTheme="majorHAnsi"/>
        </w:rPr>
        <w:t>a minimum of 12</w:t>
      </w:r>
      <w:r w:rsidR="00323C3E">
        <w:rPr>
          <w:rFonts w:asciiTheme="majorHAnsi" w:hAnsiTheme="majorHAnsi"/>
        </w:rPr>
        <w:t xml:space="preserve"> </w:t>
      </w:r>
      <w:r w:rsidR="002E51EB">
        <w:rPr>
          <w:rFonts w:asciiTheme="majorHAnsi" w:hAnsiTheme="majorHAnsi"/>
        </w:rPr>
        <w:t>wells be included in this water</w:t>
      </w:r>
      <w:r w:rsidR="00B104E7">
        <w:rPr>
          <w:rFonts w:asciiTheme="majorHAnsi" w:hAnsiTheme="majorHAnsi"/>
        </w:rPr>
        <w:t>-</w:t>
      </w:r>
      <w:r w:rsidR="002E51EB">
        <w:rPr>
          <w:rFonts w:asciiTheme="majorHAnsi" w:hAnsiTheme="majorHAnsi"/>
        </w:rPr>
        <w:t>quality monitoring plan</w:t>
      </w:r>
      <w:r w:rsidR="00665416">
        <w:rPr>
          <w:rFonts w:asciiTheme="majorHAnsi" w:hAnsiTheme="majorHAnsi"/>
        </w:rPr>
        <w:t>,</w:t>
      </w:r>
      <w:r w:rsidR="002E51EB">
        <w:rPr>
          <w:rFonts w:asciiTheme="majorHAnsi" w:hAnsiTheme="majorHAnsi"/>
        </w:rPr>
        <w:t xml:space="preserve"> as listed in </w:t>
      </w:r>
      <w:r w:rsidR="002E51EB" w:rsidRPr="00323C3E">
        <w:rPr>
          <w:rFonts w:asciiTheme="majorHAnsi" w:hAnsiTheme="majorHAnsi"/>
        </w:rPr>
        <w:t xml:space="preserve">Table </w:t>
      </w:r>
      <w:r w:rsidR="00323C3E">
        <w:rPr>
          <w:rFonts w:asciiTheme="majorHAnsi" w:hAnsiTheme="majorHAnsi"/>
        </w:rPr>
        <w:t>5</w:t>
      </w:r>
      <w:r w:rsidR="002E51EB" w:rsidRPr="00323C3E">
        <w:rPr>
          <w:rFonts w:asciiTheme="majorHAnsi" w:hAnsiTheme="majorHAnsi"/>
        </w:rPr>
        <w:t>-</w:t>
      </w:r>
      <w:r w:rsidR="00323C3E">
        <w:rPr>
          <w:rFonts w:asciiTheme="majorHAnsi" w:hAnsiTheme="majorHAnsi"/>
        </w:rPr>
        <w:t>1</w:t>
      </w:r>
      <w:r w:rsidR="002E51EB" w:rsidRPr="00323C3E">
        <w:rPr>
          <w:rFonts w:asciiTheme="majorHAnsi" w:hAnsiTheme="majorHAnsi"/>
        </w:rPr>
        <w:t>.</w:t>
      </w:r>
    </w:p>
    <w:p w14:paraId="35011642" w14:textId="6E9C505F" w:rsidR="00391836" w:rsidRPr="007D0DBA" w:rsidRDefault="00391836" w:rsidP="00317E12">
      <w:pPr>
        <w:pStyle w:val="Heading4"/>
      </w:pPr>
      <w:bookmarkStart w:id="56" w:name="_Toc427921448"/>
      <w:r w:rsidRPr="007D0DBA">
        <w:t xml:space="preserve">Develop a </w:t>
      </w:r>
      <w:r w:rsidR="00A54C21">
        <w:t>S</w:t>
      </w:r>
      <w:r w:rsidR="00A54C21" w:rsidRPr="007D0DBA">
        <w:t>urface</w:t>
      </w:r>
      <w:r w:rsidRPr="007D0DBA">
        <w:t>-</w:t>
      </w:r>
      <w:r w:rsidR="00A54C21">
        <w:t>W</w:t>
      </w:r>
      <w:r w:rsidR="00A54C21" w:rsidRPr="007D0DBA">
        <w:t xml:space="preserve">ater </w:t>
      </w:r>
      <w:r w:rsidR="00A54C21">
        <w:t>M</w:t>
      </w:r>
      <w:r w:rsidR="00A54C21" w:rsidRPr="007D0DBA">
        <w:t xml:space="preserve">onitoring </w:t>
      </w:r>
      <w:r w:rsidR="00A54C21">
        <w:t>P</w:t>
      </w:r>
      <w:r w:rsidR="00A54C21" w:rsidRPr="007D0DBA">
        <w:t>rogram</w:t>
      </w:r>
      <w:bookmarkEnd w:id="56"/>
    </w:p>
    <w:p w14:paraId="669382B3" w14:textId="11429EA5" w:rsidR="00B02CDD" w:rsidRDefault="007D0DBA" w:rsidP="00981E9B">
      <w:pPr>
        <w:spacing w:after="200" w:line="240" w:lineRule="auto"/>
        <w:rPr>
          <w:rFonts w:asciiTheme="majorHAnsi" w:hAnsiTheme="majorHAnsi"/>
        </w:rPr>
      </w:pPr>
      <w:r>
        <w:rPr>
          <w:rFonts w:asciiTheme="majorHAnsi" w:hAnsiTheme="majorHAnsi"/>
        </w:rPr>
        <w:t>T</w:t>
      </w:r>
      <w:r w:rsidR="00391836">
        <w:rPr>
          <w:rFonts w:asciiTheme="majorHAnsi" w:hAnsiTheme="majorHAnsi"/>
        </w:rPr>
        <w:t xml:space="preserve">here are no surface-water monitoring stations </w:t>
      </w:r>
      <w:r w:rsidR="002E51EB">
        <w:rPr>
          <w:rFonts w:asciiTheme="majorHAnsi" w:hAnsiTheme="majorHAnsi"/>
        </w:rPr>
        <w:t>or other consistent surface</w:t>
      </w:r>
      <w:r w:rsidR="003F3EE3">
        <w:rPr>
          <w:rFonts w:asciiTheme="majorHAnsi" w:hAnsiTheme="majorHAnsi"/>
        </w:rPr>
        <w:t>-</w:t>
      </w:r>
      <w:r w:rsidR="002E51EB">
        <w:rPr>
          <w:rFonts w:asciiTheme="majorHAnsi" w:hAnsiTheme="majorHAnsi"/>
        </w:rPr>
        <w:t>water monitoring</w:t>
      </w:r>
      <w:r w:rsidR="00B75CFF">
        <w:rPr>
          <w:rFonts w:asciiTheme="majorHAnsi" w:hAnsiTheme="majorHAnsi"/>
        </w:rPr>
        <w:t xml:space="preserve"> activities</w:t>
      </w:r>
      <w:r w:rsidR="002E51EB">
        <w:rPr>
          <w:rFonts w:asciiTheme="majorHAnsi" w:hAnsiTheme="majorHAnsi"/>
        </w:rPr>
        <w:t xml:space="preserve"> </w:t>
      </w:r>
      <w:r w:rsidR="00391836">
        <w:rPr>
          <w:rFonts w:asciiTheme="majorHAnsi" w:hAnsiTheme="majorHAnsi"/>
        </w:rPr>
        <w:t>with</w:t>
      </w:r>
      <w:r>
        <w:rPr>
          <w:rFonts w:asciiTheme="majorHAnsi" w:hAnsiTheme="majorHAnsi"/>
        </w:rPr>
        <w:t>in</w:t>
      </w:r>
      <w:r w:rsidR="00391836">
        <w:rPr>
          <w:rFonts w:asciiTheme="majorHAnsi" w:hAnsiTheme="majorHAnsi"/>
        </w:rPr>
        <w:t xml:space="preserve"> the Bedford Basin</w:t>
      </w:r>
      <w:r w:rsidR="002E51EB">
        <w:rPr>
          <w:rFonts w:asciiTheme="majorHAnsi" w:hAnsiTheme="majorHAnsi"/>
        </w:rPr>
        <w:t xml:space="preserve"> to determine recharge potential and the occurrence of rising </w:t>
      </w:r>
      <w:r w:rsidR="003F3EE3">
        <w:rPr>
          <w:rFonts w:asciiTheme="majorHAnsi" w:hAnsiTheme="majorHAnsi"/>
        </w:rPr>
        <w:t>ground</w:t>
      </w:r>
      <w:r w:rsidR="002E51EB">
        <w:rPr>
          <w:rFonts w:asciiTheme="majorHAnsi" w:hAnsiTheme="majorHAnsi"/>
        </w:rPr>
        <w:t>water</w:t>
      </w:r>
      <w:r w:rsidR="00391836">
        <w:rPr>
          <w:rFonts w:asciiTheme="majorHAnsi" w:hAnsiTheme="majorHAnsi"/>
        </w:rPr>
        <w:t>.</w:t>
      </w:r>
      <w:r w:rsidR="002E51EB">
        <w:rPr>
          <w:rFonts w:asciiTheme="majorHAnsi" w:hAnsiTheme="majorHAnsi"/>
        </w:rPr>
        <w:t xml:space="preserve"> A continuous record of Temescal Wash daily discharge entering the Bedford Basin would be valuable in the years to come to </w:t>
      </w:r>
      <w:r w:rsidR="003F3EE3">
        <w:rPr>
          <w:rFonts w:asciiTheme="majorHAnsi" w:hAnsiTheme="majorHAnsi"/>
        </w:rPr>
        <w:t xml:space="preserve">help </w:t>
      </w:r>
      <w:r w:rsidR="002E51EB">
        <w:rPr>
          <w:rFonts w:asciiTheme="majorHAnsi" w:hAnsiTheme="majorHAnsi"/>
        </w:rPr>
        <w:t>develop surface</w:t>
      </w:r>
      <w:r w:rsidR="00317E12">
        <w:rPr>
          <w:rFonts w:asciiTheme="majorHAnsi" w:hAnsiTheme="majorHAnsi"/>
        </w:rPr>
        <w:t>-water</w:t>
      </w:r>
      <w:r w:rsidR="002E51EB">
        <w:rPr>
          <w:rFonts w:asciiTheme="majorHAnsi" w:hAnsiTheme="majorHAnsi"/>
        </w:rPr>
        <w:t xml:space="preserve"> and groundwater models that can </w:t>
      </w:r>
      <w:r w:rsidR="00B75CFF">
        <w:rPr>
          <w:rFonts w:asciiTheme="majorHAnsi" w:hAnsiTheme="majorHAnsi"/>
        </w:rPr>
        <w:t xml:space="preserve">be </w:t>
      </w:r>
      <w:r w:rsidR="002E51EB">
        <w:rPr>
          <w:rFonts w:asciiTheme="majorHAnsi" w:hAnsiTheme="majorHAnsi"/>
        </w:rPr>
        <w:t>subsequently used to manage the Bedford Basin.</w:t>
      </w:r>
      <w:r w:rsidR="00B502DC">
        <w:rPr>
          <w:rFonts w:asciiTheme="majorHAnsi" w:hAnsiTheme="majorHAnsi"/>
        </w:rPr>
        <w:t xml:space="preserve"> </w:t>
      </w:r>
      <w:r w:rsidR="00B75CFF">
        <w:rPr>
          <w:rFonts w:asciiTheme="majorHAnsi" w:hAnsiTheme="majorHAnsi"/>
        </w:rPr>
        <w:t xml:space="preserve">WEI </w:t>
      </w:r>
      <w:r w:rsidR="00391836">
        <w:rPr>
          <w:rFonts w:asciiTheme="majorHAnsi" w:hAnsiTheme="majorHAnsi"/>
        </w:rPr>
        <w:t>recommend</w:t>
      </w:r>
      <w:r w:rsidR="00B75CFF">
        <w:rPr>
          <w:rFonts w:asciiTheme="majorHAnsi" w:hAnsiTheme="majorHAnsi"/>
        </w:rPr>
        <w:t>s</w:t>
      </w:r>
      <w:r w:rsidR="00391836">
        <w:rPr>
          <w:rFonts w:asciiTheme="majorHAnsi" w:hAnsiTheme="majorHAnsi"/>
        </w:rPr>
        <w:t xml:space="preserve"> </w:t>
      </w:r>
      <w:r w:rsidR="00B02CDD">
        <w:rPr>
          <w:rFonts w:asciiTheme="majorHAnsi" w:hAnsiTheme="majorHAnsi"/>
        </w:rPr>
        <w:t>the following:</w:t>
      </w:r>
    </w:p>
    <w:p w14:paraId="7D18FAB1" w14:textId="0BB489B4" w:rsidR="00B02CDD" w:rsidRPr="00317E12" w:rsidRDefault="00B02CDD" w:rsidP="002D7239">
      <w:pPr>
        <w:pStyle w:val="ListParagraph"/>
        <w:numPr>
          <w:ilvl w:val="0"/>
          <w:numId w:val="37"/>
        </w:numPr>
        <w:spacing w:after="200" w:line="240" w:lineRule="auto"/>
        <w:rPr>
          <w:rFonts w:asciiTheme="majorHAnsi" w:hAnsiTheme="majorHAnsi"/>
        </w:rPr>
      </w:pPr>
      <w:r w:rsidRPr="00317E12">
        <w:rPr>
          <w:rFonts w:asciiTheme="majorHAnsi" w:hAnsiTheme="majorHAnsi"/>
        </w:rPr>
        <w:t xml:space="preserve">Instrument Lee Lake </w:t>
      </w:r>
      <w:r w:rsidR="003F7082">
        <w:rPr>
          <w:rFonts w:asciiTheme="majorHAnsi" w:hAnsiTheme="majorHAnsi"/>
        </w:rPr>
        <w:t>D</w:t>
      </w:r>
      <w:r w:rsidR="003F7082" w:rsidRPr="00317E12">
        <w:rPr>
          <w:rFonts w:asciiTheme="majorHAnsi" w:hAnsiTheme="majorHAnsi"/>
        </w:rPr>
        <w:t xml:space="preserve">am </w:t>
      </w:r>
      <w:r w:rsidRPr="00317E12">
        <w:rPr>
          <w:rFonts w:asciiTheme="majorHAnsi" w:hAnsiTheme="majorHAnsi"/>
        </w:rPr>
        <w:t xml:space="preserve">and </w:t>
      </w:r>
      <w:r w:rsidR="00B104E7">
        <w:rPr>
          <w:rFonts w:asciiTheme="majorHAnsi" w:hAnsiTheme="majorHAnsi"/>
        </w:rPr>
        <w:t>all</w:t>
      </w:r>
      <w:r w:rsidR="003F7082">
        <w:rPr>
          <w:rFonts w:asciiTheme="majorHAnsi" w:hAnsiTheme="majorHAnsi"/>
        </w:rPr>
        <w:t xml:space="preserve"> of</w:t>
      </w:r>
      <w:r w:rsidR="00613777">
        <w:rPr>
          <w:rFonts w:asciiTheme="majorHAnsi" w:hAnsiTheme="majorHAnsi"/>
        </w:rPr>
        <w:t xml:space="preserve"> </w:t>
      </w:r>
      <w:r w:rsidRPr="00317E12">
        <w:rPr>
          <w:rFonts w:asciiTheme="majorHAnsi" w:hAnsiTheme="majorHAnsi"/>
        </w:rPr>
        <w:t>the diversion facilities immediately downstream such that the measurements can be used to estimate daily discharge to the Bedford Basin.</w:t>
      </w:r>
      <w:r w:rsidR="00B502DC">
        <w:rPr>
          <w:rFonts w:asciiTheme="majorHAnsi" w:hAnsiTheme="majorHAnsi"/>
        </w:rPr>
        <w:t xml:space="preserve"> </w:t>
      </w:r>
      <w:r w:rsidRPr="00317E12">
        <w:rPr>
          <w:rFonts w:asciiTheme="majorHAnsi" w:hAnsiTheme="majorHAnsi"/>
        </w:rPr>
        <w:t>The EVMWD</w:t>
      </w:r>
      <w:r w:rsidR="003F3EE3">
        <w:rPr>
          <w:rFonts w:asciiTheme="majorHAnsi" w:hAnsiTheme="majorHAnsi"/>
        </w:rPr>
        <w:t xml:space="preserve"> </w:t>
      </w:r>
      <w:r w:rsidR="00B104E7">
        <w:rPr>
          <w:rFonts w:asciiTheme="majorHAnsi" w:hAnsiTheme="majorHAnsi"/>
        </w:rPr>
        <w:t>is the</w:t>
      </w:r>
      <w:r w:rsidR="003F3EE3">
        <w:rPr>
          <w:rFonts w:asciiTheme="majorHAnsi" w:hAnsiTheme="majorHAnsi"/>
        </w:rPr>
        <w:t xml:space="preserve"> </w:t>
      </w:r>
      <w:r>
        <w:rPr>
          <w:rFonts w:asciiTheme="majorHAnsi" w:hAnsiTheme="majorHAnsi"/>
        </w:rPr>
        <w:t>owner and operator</w:t>
      </w:r>
      <w:r w:rsidRPr="00317E12">
        <w:rPr>
          <w:rFonts w:asciiTheme="majorHAnsi" w:hAnsiTheme="majorHAnsi"/>
        </w:rPr>
        <w:t xml:space="preserve"> </w:t>
      </w:r>
      <w:r w:rsidR="003F3EE3">
        <w:rPr>
          <w:rFonts w:asciiTheme="majorHAnsi" w:hAnsiTheme="majorHAnsi"/>
        </w:rPr>
        <w:t xml:space="preserve">of </w:t>
      </w:r>
      <w:r w:rsidRPr="00317E12">
        <w:rPr>
          <w:rFonts w:asciiTheme="majorHAnsi" w:hAnsiTheme="majorHAnsi"/>
        </w:rPr>
        <w:t xml:space="preserve">the dam </w:t>
      </w:r>
      <w:r w:rsidR="00B104E7">
        <w:rPr>
          <w:rFonts w:asciiTheme="majorHAnsi" w:hAnsiTheme="majorHAnsi"/>
        </w:rPr>
        <w:t xml:space="preserve">and </w:t>
      </w:r>
      <w:r w:rsidRPr="00317E12">
        <w:rPr>
          <w:rFonts w:asciiTheme="majorHAnsi" w:hAnsiTheme="majorHAnsi"/>
        </w:rPr>
        <w:t>could maintain the instrumentation and process the resulting data to develop the daily discharge hydrograph.</w:t>
      </w:r>
      <w:r w:rsidR="00B104E7">
        <w:rPr>
          <w:rFonts w:asciiTheme="majorHAnsi" w:hAnsiTheme="majorHAnsi"/>
        </w:rPr>
        <w:t xml:space="preserve"> Any return flows of diverted water would also need to </w:t>
      </w:r>
      <w:r w:rsidR="00614582">
        <w:rPr>
          <w:rFonts w:asciiTheme="majorHAnsi" w:hAnsiTheme="majorHAnsi"/>
        </w:rPr>
        <w:t xml:space="preserve">be </w:t>
      </w:r>
      <w:r w:rsidR="00B104E7">
        <w:rPr>
          <w:rFonts w:asciiTheme="majorHAnsi" w:hAnsiTheme="majorHAnsi"/>
        </w:rPr>
        <w:t>directly monitored or estimated based on diversions and metered deliveries to non-potable customers.</w:t>
      </w:r>
    </w:p>
    <w:p w14:paraId="75B0B104" w14:textId="49D197A7" w:rsidR="00B02CDD" w:rsidRDefault="00B02CDD" w:rsidP="002D7239">
      <w:pPr>
        <w:pStyle w:val="ListParagraph"/>
        <w:numPr>
          <w:ilvl w:val="0"/>
          <w:numId w:val="37"/>
        </w:numPr>
        <w:spacing w:after="200" w:line="240" w:lineRule="auto"/>
        <w:rPr>
          <w:rFonts w:asciiTheme="majorHAnsi" w:hAnsiTheme="majorHAnsi"/>
        </w:rPr>
      </w:pPr>
      <w:r w:rsidRPr="00317E12">
        <w:rPr>
          <w:rFonts w:asciiTheme="majorHAnsi" w:hAnsiTheme="majorHAnsi"/>
        </w:rPr>
        <w:t xml:space="preserve">For a period of </w:t>
      </w:r>
      <w:r w:rsidR="003F3EE3">
        <w:rPr>
          <w:rFonts w:asciiTheme="majorHAnsi" w:hAnsiTheme="majorHAnsi"/>
        </w:rPr>
        <w:t>two</w:t>
      </w:r>
      <w:r w:rsidR="003F3EE3" w:rsidRPr="00317E12">
        <w:rPr>
          <w:rFonts w:asciiTheme="majorHAnsi" w:hAnsiTheme="majorHAnsi"/>
        </w:rPr>
        <w:t xml:space="preserve"> </w:t>
      </w:r>
      <w:r w:rsidRPr="00317E12">
        <w:rPr>
          <w:rFonts w:asciiTheme="majorHAnsi" w:hAnsiTheme="majorHAnsi"/>
        </w:rPr>
        <w:t>to three years, conduct bi</w:t>
      </w:r>
      <w:r w:rsidR="003F3EE3">
        <w:rPr>
          <w:rFonts w:asciiTheme="majorHAnsi" w:hAnsiTheme="majorHAnsi"/>
        </w:rPr>
        <w:t>-</w:t>
      </w:r>
      <w:r w:rsidRPr="00317E12">
        <w:rPr>
          <w:rFonts w:asciiTheme="majorHAnsi" w:hAnsiTheme="majorHAnsi"/>
        </w:rPr>
        <w:t xml:space="preserve">weekly discharge measurements during the period of May through September to determine the discharge at various </w:t>
      </w:r>
      <w:r w:rsidR="00614582" w:rsidRPr="00317E12">
        <w:rPr>
          <w:rFonts w:asciiTheme="majorHAnsi" w:hAnsiTheme="majorHAnsi"/>
        </w:rPr>
        <w:t>location</w:t>
      </w:r>
      <w:r w:rsidR="00614582">
        <w:rPr>
          <w:rFonts w:asciiTheme="majorHAnsi" w:hAnsiTheme="majorHAnsi"/>
        </w:rPr>
        <w:t>s along the Temescal Wash, the</w:t>
      </w:r>
      <w:r w:rsidRPr="00317E12">
        <w:rPr>
          <w:rFonts w:asciiTheme="majorHAnsi" w:hAnsiTheme="majorHAnsi"/>
        </w:rPr>
        <w:t xml:space="preserve"> reaches where surface</w:t>
      </w:r>
      <w:r w:rsidR="003F3EE3">
        <w:rPr>
          <w:rFonts w:asciiTheme="majorHAnsi" w:hAnsiTheme="majorHAnsi"/>
        </w:rPr>
        <w:t>-</w:t>
      </w:r>
      <w:r w:rsidRPr="00317E12">
        <w:rPr>
          <w:rFonts w:asciiTheme="majorHAnsi" w:hAnsiTheme="majorHAnsi"/>
        </w:rPr>
        <w:t>water is recharging groundwater</w:t>
      </w:r>
      <w:r w:rsidR="00614582">
        <w:rPr>
          <w:rFonts w:asciiTheme="majorHAnsi" w:hAnsiTheme="majorHAnsi"/>
        </w:rPr>
        <w:t>,</w:t>
      </w:r>
      <w:r w:rsidRPr="00317E12">
        <w:rPr>
          <w:rFonts w:asciiTheme="majorHAnsi" w:hAnsiTheme="majorHAnsi"/>
        </w:rPr>
        <w:t xml:space="preserve"> and where rising groundwater </w:t>
      </w:r>
      <w:r w:rsidR="003F3EE3">
        <w:rPr>
          <w:rFonts w:asciiTheme="majorHAnsi" w:hAnsiTheme="majorHAnsi"/>
        </w:rPr>
        <w:t>may be</w:t>
      </w:r>
      <w:r w:rsidR="003F3EE3" w:rsidRPr="00317E12">
        <w:rPr>
          <w:rFonts w:asciiTheme="majorHAnsi" w:hAnsiTheme="majorHAnsi"/>
        </w:rPr>
        <w:t xml:space="preserve"> </w:t>
      </w:r>
      <w:r w:rsidRPr="00317E12">
        <w:rPr>
          <w:rFonts w:asciiTheme="majorHAnsi" w:hAnsiTheme="majorHAnsi"/>
        </w:rPr>
        <w:t>occurring.</w:t>
      </w:r>
    </w:p>
    <w:p w14:paraId="32B02929" w14:textId="03C26C3D" w:rsidR="00B104E7" w:rsidRDefault="00FC5E72" w:rsidP="002D7239">
      <w:pPr>
        <w:pStyle w:val="ListParagraph"/>
        <w:numPr>
          <w:ilvl w:val="0"/>
          <w:numId w:val="37"/>
        </w:numPr>
        <w:spacing w:after="200" w:line="240" w:lineRule="auto"/>
        <w:rPr>
          <w:rFonts w:asciiTheme="majorHAnsi" w:hAnsiTheme="majorHAnsi"/>
        </w:rPr>
      </w:pPr>
      <w:r>
        <w:rPr>
          <w:rFonts w:asciiTheme="majorHAnsi" w:hAnsiTheme="majorHAnsi"/>
        </w:rPr>
        <w:t>Based on the results of the initial rounds of groundwater quality monitoring and the initial results of the bi-weekly surface</w:t>
      </w:r>
      <w:r w:rsidR="00614582">
        <w:rPr>
          <w:rFonts w:asciiTheme="majorHAnsi" w:hAnsiTheme="majorHAnsi"/>
        </w:rPr>
        <w:t>-</w:t>
      </w:r>
      <w:r>
        <w:rPr>
          <w:rFonts w:asciiTheme="majorHAnsi" w:hAnsiTheme="majorHAnsi"/>
        </w:rPr>
        <w:t>water discharge monitoring, develop and implement a surface</w:t>
      </w:r>
      <w:r w:rsidR="00614582">
        <w:rPr>
          <w:rFonts w:asciiTheme="majorHAnsi" w:hAnsiTheme="majorHAnsi"/>
        </w:rPr>
        <w:t xml:space="preserve">- </w:t>
      </w:r>
      <w:r>
        <w:rPr>
          <w:rFonts w:asciiTheme="majorHAnsi" w:hAnsiTheme="majorHAnsi"/>
        </w:rPr>
        <w:t>water</w:t>
      </w:r>
      <w:r w:rsidR="00614582">
        <w:rPr>
          <w:rFonts w:asciiTheme="majorHAnsi" w:hAnsiTheme="majorHAnsi"/>
        </w:rPr>
        <w:t xml:space="preserve"> </w:t>
      </w:r>
      <w:r>
        <w:rPr>
          <w:rFonts w:asciiTheme="majorHAnsi" w:hAnsiTheme="majorHAnsi"/>
        </w:rPr>
        <w:t>quality monitoring program to assess the water quality of surface</w:t>
      </w:r>
      <w:r w:rsidR="00614582">
        <w:rPr>
          <w:rFonts w:asciiTheme="majorHAnsi" w:hAnsiTheme="majorHAnsi"/>
        </w:rPr>
        <w:t>-</w:t>
      </w:r>
      <w:r>
        <w:rPr>
          <w:rFonts w:asciiTheme="majorHAnsi" w:hAnsiTheme="majorHAnsi"/>
        </w:rPr>
        <w:t>water that is recharging the basin.</w:t>
      </w:r>
    </w:p>
    <w:p w14:paraId="30CABE40" w14:textId="54BF23BF" w:rsidR="004B0804" w:rsidRDefault="00CD2987" w:rsidP="00317E12">
      <w:pPr>
        <w:pStyle w:val="Heading4"/>
      </w:pPr>
      <w:bookmarkStart w:id="57" w:name="_Toc427921449"/>
      <w:r>
        <w:t xml:space="preserve">Develop and Apply </w:t>
      </w:r>
      <w:r w:rsidR="00B02CDD">
        <w:t>Surface</w:t>
      </w:r>
      <w:r w:rsidR="00526FF6">
        <w:t>-Water</w:t>
      </w:r>
      <w:r w:rsidR="00B02CDD">
        <w:t xml:space="preserve"> and Ground</w:t>
      </w:r>
      <w:r w:rsidR="00526FF6">
        <w:t>w</w:t>
      </w:r>
      <w:r w:rsidR="00B02CDD">
        <w:t>ater Models</w:t>
      </w:r>
      <w:r>
        <w:t xml:space="preserve"> to Assess Sustainable Production Rates and to Minimize the Risk of Stranded Assets</w:t>
      </w:r>
      <w:bookmarkEnd w:id="57"/>
    </w:p>
    <w:p w14:paraId="7385F43B" w14:textId="2E5907CB" w:rsidR="00CD2987" w:rsidRDefault="004B0804" w:rsidP="007E5C72">
      <w:pPr>
        <w:spacing w:after="200" w:line="240" w:lineRule="auto"/>
        <w:sectPr w:rsidR="00CD2987" w:rsidSect="004D1467">
          <w:headerReference w:type="default" r:id="rId32"/>
          <w:pgSz w:w="12240" w:h="15840" w:code="1"/>
          <w:pgMar w:top="1138" w:right="1728" w:bottom="1440" w:left="1728" w:header="864" w:footer="864" w:gutter="0"/>
          <w:pgNumType w:start="1" w:chapStyle="1"/>
          <w:cols w:space="720"/>
          <w:titlePg/>
        </w:sectPr>
      </w:pPr>
      <w:r>
        <w:rPr>
          <w:rFonts w:asciiTheme="majorHAnsi" w:hAnsiTheme="majorHAnsi"/>
        </w:rPr>
        <w:t>A</w:t>
      </w:r>
      <w:r w:rsidR="009B0E03">
        <w:rPr>
          <w:rFonts w:asciiTheme="majorHAnsi" w:hAnsiTheme="majorHAnsi"/>
        </w:rPr>
        <w:t>s</w:t>
      </w:r>
      <w:r>
        <w:rPr>
          <w:rFonts w:asciiTheme="majorHAnsi" w:hAnsiTheme="majorHAnsi"/>
        </w:rPr>
        <w:t xml:space="preserve"> </w:t>
      </w:r>
      <w:r w:rsidR="003F3EE3">
        <w:rPr>
          <w:rFonts w:asciiTheme="majorHAnsi" w:hAnsiTheme="majorHAnsi"/>
        </w:rPr>
        <w:t xml:space="preserve">discussed </w:t>
      </w:r>
      <w:r>
        <w:rPr>
          <w:rFonts w:asciiTheme="majorHAnsi" w:hAnsiTheme="majorHAnsi"/>
        </w:rPr>
        <w:t xml:space="preserve">in Sections 1 </w:t>
      </w:r>
      <w:r w:rsidR="00CD2987">
        <w:rPr>
          <w:rFonts w:asciiTheme="majorHAnsi" w:hAnsiTheme="majorHAnsi"/>
        </w:rPr>
        <w:t>through 3</w:t>
      </w:r>
      <w:r>
        <w:rPr>
          <w:rFonts w:asciiTheme="majorHAnsi" w:hAnsiTheme="majorHAnsi"/>
        </w:rPr>
        <w:t>, it is not possible to determine the yield of the basin from historical data</w:t>
      </w:r>
      <w:r w:rsidR="009B0E03">
        <w:rPr>
          <w:rFonts w:asciiTheme="majorHAnsi" w:hAnsiTheme="majorHAnsi"/>
        </w:rPr>
        <w:t xml:space="preserve"> alone</w:t>
      </w:r>
      <w:r>
        <w:rPr>
          <w:rFonts w:asciiTheme="majorHAnsi" w:hAnsiTheme="majorHAnsi"/>
        </w:rPr>
        <w:t xml:space="preserve"> because</w:t>
      </w:r>
      <w:r w:rsidR="003F3EE3">
        <w:rPr>
          <w:rFonts w:asciiTheme="majorHAnsi" w:hAnsiTheme="majorHAnsi"/>
        </w:rPr>
        <w:t>:</w:t>
      </w:r>
      <w:r>
        <w:rPr>
          <w:rFonts w:asciiTheme="majorHAnsi" w:hAnsiTheme="majorHAnsi"/>
        </w:rPr>
        <w:t xml:space="preserve"> (i) the cultural conditions in the watershed tributary to </w:t>
      </w:r>
      <w:r w:rsidR="009B0E03">
        <w:rPr>
          <w:rFonts w:asciiTheme="majorHAnsi" w:hAnsiTheme="majorHAnsi"/>
        </w:rPr>
        <w:t xml:space="preserve">and overlying </w:t>
      </w:r>
      <w:r>
        <w:rPr>
          <w:rFonts w:asciiTheme="majorHAnsi" w:hAnsiTheme="majorHAnsi"/>
        </w:rPr>
        <w:t>the Bedfor</w:t>
      </w:r>
      <w:r w:rsidR="009B0E03">
        <w:rPr>
          <w:rFonts w:asciiTheme="majorHAnsi" w:hAnsiTheme="majorHAnsi"/>
        </w:rPr>
        <w:t>d</w:t>
      </w:r>
      <w:r>
        <w:rPr>
          <w:rFonts w:asciiTheme="majorHAnsi" w:hAnsiTheme="majorHAnsi"/>
        </w:rPr>
        <w:t xml:space="preserve"> Basin </w:t>
      </w:r>
      <w:r w:rsidR="003F3EE3">
        <w:rPr>
          <w:rFonts w:asciiTheme="majorHAnsi" w:hAnsiTheme="majorHAnsi"/>
        </w:rPr>
        <w:t xml:space="preserve">have </w:t>
      </w:r>
      <w:r>
        <w:rPr>
          <w:rFonts w:asciiTheme="majorHAnsi" w:hAnsiTheme="majorHAnsi"/>
        </w:rPr>
        <w:t xml:space="preserve">been in a state of constant </w:t>
      </w:r>
      <w:r w:rsidR="00CD2987">
        <w:rPr>
          <w:rFonts w:asciiTheme="majorHAnsi" w:hAnsiTheme="majorHAnsi"/>
        </w:rPr>
        <w:t>change</w:t>
      </w:r>
      <w:r w:rsidR="009B0E03">
        <w:rPr>
          <w:rFonts w:asciiTheme="majorHAnsi" w:hAnsiTheme="majorHAnsi"/>
        </w:rPr>
        <w:t xml:space="preserve">, </w:t>
      </w:r>
      <w:r>
        <w:rPr>
          <w:rFonts w:asciiTheme="majorHAnsi" w:hAnsiTheme="majorHAnsi"/>
        </w:rPr>
        <w:t>(ii) the amount of storage that can be used to regulate recharge is small compared to the recharge potential of the basin</w:t>
      </w:r>
      <w:r w:rsidR="00CD2987">
        <w:rPr>
          <w:rFonts w:asciiTheme="majorHAnsi" w:hAnsiTheme="majorHAnsi"/>
        </w:rPr>
        <w:t>, and (iii) recharge to the basin is function of both water available for recharge and production</w:t>
      </w:r>
      <w:r w:rsidR="009B0E03">
        <w:rPr>
          <w:rFonts w:asciiTheme="majorHAnsi" w:hAnsiTheme="majorHAnsi"/>
        </w:rPr>
        <w:t>.</w:t>
      </w:r>
      <w:r>
        <w:rPr>
          <w:rFonts w:asciiTheme="majorHAnsi" w:hAnsiTheme="majorHAnsi"/>
        </w:rPr>
        <w:t xml:space="preserve"> </w:t>
      </w:r>
      <w:r w:rsidR="009B0E03">
        <w:rPr>
          <w:rFonts w:asciiTheme="majorHAnsi" w:hAnsiTheme="majorHAnsi"/>
        </w:rPr>
        <w:t>A</w:t>
      </w:r>
      <w:r>
        <w:rPr>
          <w:rFonts w:asciiTheme="majorHAnsi" w:hAnsiTheme="majorHAnsi"/>
        </w:rPr>
        <w:t xml:space="preserve"> water budget table, if prepared</w:t>
      </w:r>
      <w:r w:rsidR="00C03C8D">
        <w:rPr>
          <w:rFonts w:asciiTheme="majorHAnsi" w:hAnsiTheme="majorHAnsi"/>
        </w:rPr>
        <w:t xml:space="preserve"> </w:t>
      </w:r>
      <w:r w:rsidR="003F3EE3">
        <w:rPr>
          <w:rFonts w:asciiTheme="majorHAnsi" w:hAnsiTheme="majorHAnsi"/>
        </w:rPr>
        <w:t>f</w:t>
      </w:r>
      <w:r w:rsidR="00C03C8D">
        <w:rPr>
          <w:rFonts w:asciiTheme="majorHAnsi" w:hAnsiTheme="majorHAnsi"/>
        </w:rPr>
        <w:t>rom historical data alone</w:t>
      </w:r>
      <w:r w:rsidR="009B0E03">
        <w:rPr>
          <w:rFonts w:asciiTheme="majorHAnsi" w:hAnsiTheme="majorHAnsi"/>
        </w:rPr>
        <w:t>,</w:t>
      </w:r>
      <w:r>
        <w:rPr>
          <w:rFonts w:asciiTheme="majorHAnsi" w:hAnsiTheme="majorHAnsi"/>
        </w:rPr>
        <w:t xml:space="preserve"> would not be a reliable tool to estimate yield</w:t>
      </w:r>
      <w:r w:rsidR="009B0E03">
        <w:rPr>
          <w:rFonts w:asciiTheme="majorHAnsi" w:hAnsiTheme="majorHAnsi"/>
        </w:rPr>
        <w:t xml:space="preserve"> under projected future cultural conditions and different basin management plan</w:t>
      </w:r>
      <w:r w:rsidR="003F3EE3">
        <w:rPr>
          <w:rFonts w:asciiTheme="majorHAnsi" w:hAnsiTheme="majorHAnsi"/>
        </w:rPr>
        <w:t>s</w:t>
      </w:r>
      <w:r w:rsidR="009B0E03">
        <w:rPr>
          <w:rFonts w:asciiTheme="majorHAnsi" w:hAnsiTheme="majorHAnsi"/>
        </w:rPr>
        <w:t>.</w:t>
      </w:r>
      <w:r w:rsidR="00B502DC">
        <w:rPr>
          <w:rFonts w:asciiTheme="majorHAnsi" w:hAnsiTheme="majorHAnsi"/>
        </w:rPr>
        <w:t xml:space="preserve"> </w:t>
      </w:r>
      <w:r w:rsidR="009B0E03">
        <w:rPr>
          <w:rFonts w:asciiTheme="majorHAnsi" w:hAnsiTheme="majorHAnsi"/>
        </w:rPr>
        <w:t>Models can be developed</w:t>
      </w:r>
      <w:r w:rsidR="00CD2987">
        <w:rPr>
          <w:rFonts w:asciiTheme="majorHAnsi" w:hAnsiTheme="majorHAnsi"/>
        </w:rPr>
        <w:t xml:space="preserve"> based on the historical record</w:t>
      </w:r>
      <w:r w:rsidR="009B0E03">
        <w:rPr>
          <w:rFonts w:asciiTheme="majorHAnsi" w:hAnsiTheme="majorHAnsi"/>
        </w:rPr>
        <w:t xml:space="preserve"> and subsequently applied to current and projected future cultural conditions to enable </w:t>
      </w:r>
      <w:r w:rsidR="00BF044B">
        <w:rPr>
          <w:rFonts w:asciiTheme="majorHAnsi" w:hAnsiTheme="majorHAnsi"/>
        </w:rPr>
        <w:t>the Agencies</w:t>
      </w:r>
      <w:r w:rsidR="009B0E03">
        <w:rPr>
          <w:rFonts w:asciiTheme="majorHAnsi" w:hAnsiTheme="majorHAnsi"/>
        </w:rPr>
        <w:t xml:space="preserve"> </w:t>
      </w:r>
      <w:r w:rsidR="00614582">
        <w:rPr>
          <w:rFonts w:asciiTheme="majorHAnsi" w:hAnsiTheme="majorHAnsi"/>
        </w:rPr>
        <w:t xml:space="preserve">to </w:t>
      </w:r>
      <w:r w:rsidR="009B0E03">
        <w:rPr>
          <w:rFonts w:asciiTheme="majorHAnsi" w:hAnsiTheme="majorHAnsi"/>
        </w:rPr>
        <w:t xml:space="preserve">determine the </w:t>
      </w:r>
      <w:r w:rsidR="007E5C72">
        <w:rPr>
          <w:rFonts w:asciiTheme="majorHAnsi" w:hAnsiTheme="majorHAnsi"/>
        </w:rPr>
        <w:t xml:space="preserve">sustainable yield of the </w:t>
      </w:r>
      <w:r w:rsidR="009B0E03">
        <w:rPr>
          <w:rFonts w:asciiTheme="majorHAnsi" w:hAnsiTheme="majorHAnsi"/>
        </w:rPr>
        <w:t>basin and</w:t>
      </w:r>
      <w:r w:rsidR="003F7082">
        <w:rPr>
          <w:rFonts w:asciiTheme="majorHAnsi" w:hAnsiTheme="majorHAnsi"/>
        </w:rPr>
        <w:t xml:space="preserve"> to</w:t>
      </w:r>
      <w:r w:rsidR="009B0E03">
        <w:rPr>
          <w:rFonts w:asciiTheme="majorHAnsi" w:hAnsiTheme="majorHAnsi"/>
        </w:rPr>
        <w:t xml:space="preserve"> support </w:t>
      </w:r>
      <w:r w:rsidR="00BF044B">
        <w:rPr>
          <w:rFonts w:asciiTheme="majorHAnsi" w:hAnsiTheme="majorHAnsi"/>
        </w:rPr>
        <w:t>the</w:t>
      </w:r>
      <w:r w:rsidR="003F7082">
        <w:rPr>
          <w:rFonts w:asciiTheme="majorHAnsi" w:hAnsiTheme="majorHAnsi"/>
        </w:rPr>
        <w:t>ir</w:t>
      </w:r>
      <w:r w:rsidR="00BF044B">
        <w:rPr>
          <w:rFonts w:asciiTheme="majorHAnsi" w:hAnsiTheme="majorHAnsi"/>
        </w:rPr>
        <w:t xml:space="preserve"> </w:t>
      </w:r>
      <w:r w:rsidR="009B0E03">
        <w:rPr>
          <w:rFonts w:asciiTheme="majorHAnsi" w:hAnsiTheme="majorHAnsi"/>
        </w:rPr>
        <w:t>future water resources planning</w:t>
      </w:r>
      <w:r w:rsidR="007E5C72">
        <w:rPr>
          <w:rFonts w:asciiTheme="majorHAnsi" w:hAnsiTheme="majorHAnsi"/>
        </w:rPr>
        <w:t xml:space="preserve"> with the intent of complying with the SGMA and minimizing the risk of stranded assets</w:t>
      </w:r>
      <w:r w:rsidR="00FC5E72">
        <w:rPr>
          <w:rFonts w:asciiTheme="majorHAnsi" w:hAnsiTheme="majorHAnsi"/>
        </w:rPr>
        <w:t>.</w:t>
      </w:r>
      <w:r w:rsidR="00B502DC">
        <w:rPr>
          <w:rFonts w:asciiTheme="majorHAnsi" w:hAnsiTheme="majorHAnsi"/>
        </w:rPr>
        <w:t xml:space="preserve"> </w:t>
      </w:r>
      <w:r w:rsidR="00C03C8D">
        <w:rPr>
          <w:rFonts w:asciiTheme="majorHAnsi" w:hAnsiTheme="majorHAnsi"/>
        </w:rPr>
        <w:t xml:space="preserve">If </w:t>
      </w:r>
      <w:r w:rsidR="00BF044B">
        <w:rPr>
          <w:rFonts w:asciiTheme="majorHAnsi" w:hAnsiTheme="majorHAnsi"/>
        </w:rPr>
        <w:t>the Agencies</w:t>
      </w:r>
      <w:r w:rsidR="00C03C8D">
        <w:rPr>
          <w:rFonts w:asciiTheme="majorHAnsi" w:hAnsiTheme="majorHAnsi"/>
        </w:rPr>
        <w:t xml:space="preserve"> desire to construct new facilities to produce more than 2,000 acre-ft/yr, they should invest in the development of appropriate models to determine the </w:t>
      </w:r>
      <w:r w:rsidR="007E5C72">
        <w:rPr>
          <w:rFonts w:asciiTheme="majorHAnsi" w:hAnsiTheme="majorHAnsi"/>
        </w:rPr>
        <w:t xml:space="preserve">sustainable </w:t>
      </w:r>
      <w:r w:rsidR="00C03C8D">
        <w:rPr>
          <w:rFonts w:asciiTheme="majorHAnsi" w:hAnsiTheme="majorHAnsi"/>
        </w:rPr>
        <w:t>yield of the basin</w:t>
      </w:r>
      <w:r w:rsidR="003F3EE3">
        <w:rPr>
          <w:rFonts w:asciiTheme="majorHAnsi" w:hAnsiTheme="majorHAnsi"/>
        </w:rPr>
        <w:t>,</w:t>
      </w:r>
      <w:r w:rsidR="00C03C8D">
        <w:rPr>
          <w:rFonts w:asciiTheme="majorHAnsi" w:hAnsiTheme="majorHAnsi"/>
        </w:rPr>
        <w:t xml:space="preserve"> characterize how the yield will change under different climatic conditions</w:t>
      </w:r>
      <w:r w:rsidR="003F3EE3">
        <w:rPr>
          <w:rFonts w:asciiTheme="majorHAnsi" w:hAnsiTheme="majorHAnsi"/>
        </w:rPr>
        <w:t xml:space="preserve">, </w:t>
      </w:r>
      <w:r w:rsidR="00C03C8D">
        <w:rPr>
          <w:rFonts w:asciiTheme="majorHAnsi" w:hAnsiTheme="majorHAnsi"/>
        </w:rPr>
        <w:t xml:space="preserve">and </w:t>
      </w:r>
      <w:r w:rsidR="007E5C72">
        <w:rPr>
          <w:rFonts w:asciiTheme="majorHAnsi" w:hAnsiTheme="majorHAnsi"/>
        </w:rPr>
        <w:t>support</w:t>
      </w:r>
      <w:r w:rsidR="003F3EE3">
        <w:rPr>
          <w:rFonts w:asciiTheme="majorHAnsi" w:hAnsiTheme="majorHAnsi"/>
        </w:rPr>
        <w:t xml:space="preserve"> </w:t>
      </w:r>
      <w:r w:rsidR="00C03C8D">
        <w:rPr>
          <w:rFonts w:asciiTheme="majorHAnsi" w:hAnsiTheme="majorHAnsi"/>
        </w:rPr>
        <w:t>develop</w:t>
      </w:r>
      <w:r w:rsidR="007E5C72">
        <w:rPr>
          <w:rFonts w:asciiTheme="majorHAnsi" w:hAnsiTheme="majorHAnsi"/>
        </w:rPr>
        <w:t>ment of</w:t>
      </w:r>
      <w:r w:rsidR="00C03C8D">
        <w:rPr>
          <w:rFonts w:asciiTheme="majorHAnsi" w:hAnsiTheme="majorHAnsi"/>
        </w:rPr>
        <w:t xml:space="preserve"> an overall management plan to optimize the use of groundwater in the Bedford Basin</w:t>
      </w:r>
      <w:r w:rsidR="00526FF6">
        <w:rPr>
          <w:rFonts w:asciiTheme="majorHAnsi" w:hAnsiTheme="majorHAnsi"/>
        </w:rPr>
        <w:t xml:space="preserve">. </w:t>
      </w:r>
      <w:r w:rsidR="00CD2987">
        <w:rPr>
          <w:rFonts w:asciiTheme="majorHAnsi" w:hAnsiTheme="majorHAnsi"/>
        </w:rPr>
        <w:t>The models should be developed using the historical data available today.</w:t>
      </w:r>
      <w:r w:rsidR="00613777">
        <w:rPr>
          <w:rFonts w:asciiTheme="majorHAnsi" w:hAnsiTheme="majorHAnsi"/>
        </w:rPr>
        <w:t xml:space="preserve"> </w:t>
      </w:r>
      <w:r w:rsidR="00CD2987">
        <w:rPr>
          <w:rFonts w:asciiTheme="majorHAnsi" w:hAnsiTheme="majorHAnsi"/>
        </w:rPr>
        <w:t>The models would be subsequently updated after about three years of new monitoring data is acquired. The initial model build will inform</w:t>
      </w:r>
      <w:r w:rsidR="007E5C72">
        <w:rPr>
          <w:rFonts w:asciiTheme="majorHAnsi" w:hAnsiTheme="majorHAnsi"/>
        </w:rPr>
        <w:t xml:space="preserve"> and refine the</w:t>
      </w:r>
      <w:r w:rsidR="00CD2987">
        <w:rPr>
          <w:rFonts w:asciiTheme="majorHAnsi" w:hAnsiTheme="majorHAnsi"/>
        </w:rPr>
        <w:t xml:space="preserve"> monitoring </w:t>
      </w:r>
      <w:r w:rsidR="007E5C72">
        <w:rPr>
          <w:rFonts w:asciiTheme="majorHAnsi" w:hAnsiTheme="majorHAnsi"/>
        </w:rPr>
        <w:t>program</w:t>
      </w:r>
      <w:r w:rsidR="00F856A9">
        <w:rPr>
          <w:rFonts w:asciiTheme="majorHAnsi" w:hAnsiTheme="majorHAnsi"/>
        </w:rPr>
        <w:t>.</w:t>
      </w:r>
    </w:p>
    <w:p w14:paraId="2811E170" w14:textId="77777777" w:rsidR="00D05C49" w:rsidRPr="007B7186" w:rsidRDefault="00E74FB6" w:rsidP="00D75382">
      <w:pPr>
        <w:pStyle w:val="Heading1"/>
        <w:pBdr>
          <w:bottom w:val="none" w:sz="0" w:space="0" w:color="auto"/>
        </w:pBdr>
        <w:spacing w:after="600"/>
      </w:pPr>
      <w:bookmarkStart w:id="58" w:name="_Toc343676460"/>
      <w:bookmarkStart w:id="59" w:name="_Toc427921450"/>
      <w:r>
        <w:t xml:space="preserve">– </w:t>
      </w:r>
      <w:bookmarkEnd w:id="58"/>
      <w:r w:rsidR="009B6596">
        <w:t>References</w:t>
      </w:r>
      <w:bookmarkEnd w:id="59"/>
    </w:p>
    <w:p w14:paraId="510243F4" w14:textId="77777777" w:rsidR="00B51B43" w:rsidRPr="00B51B43" w:rsidRDefault="00B51B43" w:rsidP="00D75382">
      <w:pPr>
        <w:pStyle w:val="References"/>
      </w:pPr>
      <w:r>
        <w:t>Driscoll, F.G. (1986).</w:t>
      </w:r>
      <w:r>
        <w:rPr>
          <w:i/>
        </w:rPr>
        <w:t xml:space="preserve"> Groundwater and Wells</w:t>
      </w:r>
      <w:r>
        <w:t xml:space="preserve"> (2</w:t>
      </w:r>
      <w:r w:rsidRPr="00B51B43">
        <w:rPr>
          <w:vertAlign w:val="superscript"/>
        </w:rPr>
        <w:t>nd</w:t>
      </w:r>
      <w:r>
        <w:t xml:space="preserve"> ed.): St. Paul: Johnson Filtration Systems, Inc.</w:t>
      </w:r>
    </w:p>
    <w:p w14:paraId="5EF5D64F" w14:textId="77777777" w:rsidR="00710F16" w:rsidRDefault="00710F16" w:rsidP="00D75382">
      <w:pPr>
        <w:pStyle w:val="References"/>
      </w:pPr>
      <w:r>
        <w:t>Engel, R. (1959).</w:t>
      </w:r>
      <w:r w:rsidR="002E0521">
        <w:t xml:space="preserve"> </w:t>
      </w:r>
      <w:r>
        <w:rPr>
          <w:i/>
        </w:rPr>
        <w:t>Geology and Mineral Deposits of the Lake Elsinore Quadrangle and Mineral Deposits of Lake Elsinore Quadrangle, California</w:t>
      </w:r>
      <w:r>
        <w:t>, Bulletin 146: San Francisco: California Division of Mines.</w:t>
      </w:r>
    </w:p>
    <w:p w14:paraId="182B7968" w14:textId="77777777" w:rsidR="00710F16" w:rsidRPr="00710F16" w:rsidRDefault="00062862" w:rsidP="00710F16">
      <w:pPr>
        <w:pStyle w:val="References"/>
      </w:pPr>
      <w:r>
        <w:t>Gray,</w:t>
      </w:r>
      <w:r w:rsidR="00710F16">
        <w:t xml:space="preserve"> C.H. (1961).</w:t>
      </w:r>
      <w:r w:rsidR="00710F16">
        <w:rPr>
          <w:i/>
        </w:rPr>
        <w:t xml:space="preserve"> Geology of the Corona South Quadrangle and the Santa Ana Narrows Area and Mines and Mineral Deposits of the Corona South Quadrangle, California</w:t>
      </w:r>
      <w:r w:rsidR="00710F16">
        <w:t>, Bulletin 178: San Francisco: California Division of Mines.</w:t>
      </w:r>
    </w:p>
    <w:p w14:paraId="56DD430D" w14:textId="77777777" w:rsidR="00B51B43" w:rsidRPr="009B58F9" w:rsidRDefault="00B51B43" w:rsidP="00D75382">
      <w:pPr>
        <w:pStyle w:val="References"/>
      </w:pPr>
      <w:r>
        <w:t xml:space="preserve">John S. Murk Engineers, Inc. (1987). </w:t>
      </w:r>
      <w:r>
        <w:rPr>
          <w:i/>
        </w:rPr>
        <w:t>Lee Water District Draft Water and Wastewater Master Plan</w:t>
      </w:r>
      <w:r w:rsidR="009B58F9">
        <w:rPr>
          <w:i/>
        </w:rPr>
        <w:t>.</w:t>
      </w:r>
      <w:r w:rsidR="009B58F9">
        <w:t xml:space="preserve"> Carlsbad: Author.</w:t>
      </w:r>
    </w:p>
    <w:p w14:paraId="01623360" w14:textId="77777777" w:rsidR="00062862" w:rsidRPr="00062862" w:rsidRDefault="00062862" w:rsidP="00D75382">
      <w:pPr>
        <w:pStyle w:val="References"/>
      </w:pPr>
      <w:r>
        <w:t xml:space="preserve">Johnson, A.I. (1967). </w:t>
      </w:r>
      <w:r>
        <w:rPr>
          <w:i/>
        </w:rPr>
        <w:t xml:space="preserve">Specific Yield: Compilation of Specific Yields for Various Materials, </w:t>
      </w:r>
      <w:r w:rsidR="00FF7096">
        <w:t>U.S. Geological Survey Water Supply Paper 1662-D: Washington, D.C.: USGS.</w:t>
      </w:r>
    </w:p>
    <w:p w14:paraId="2F59A1B3" w14:textId="77777777" w:rsidR="00710F16" w:rsidRPr="00710F16" w:rsidRDefault="00710F16" w:rsidP="00D75382">
      <w:pPr>
        <w:pStyle w:val="References"/>
      </w:pPr>
      <w:r>
        <w:t xml:space="preserve">Morton, D.M. and Miller, F.K. (2006). </w:t>
      </w:r>
      <w:r>
        <w:rPr>
          <w:i/>
        </w:rPr>
        <w:t>Geologic Map of the San Bernardino and Santa Ana 30’ x 60’ Quadrangles, California</w:t>
      </w:r>
      <w:r>
        <w:t>, U.S. Geological Survey Open-File Report 2006-1217 Version 1.0, scale 1:100,000, digital: Menlo Park: USGS.</w:t>
      </w:r>
    </w:p>
    <w:p w14:paraId="1C9D0FDF" w14:textId="77777777" w:rsidR="000734E7" w:rsidRPr="000734E7" w:rsidRDefault="000734E7" w:rsidP="00D75382">
      <w:pPr>
        <w:pStyle w:val="References"/>
      </w:pPr>
      <w:r>
        <w:t xml:space="preserve">PIER Project Report. (2006). </w:t>
      </w:r>
      <w:r>
        <w:rPr>
          <w:i/>
        </w:rPr>
        <w:t>Estimating Irrigation Water Use for California Agriculture: 1950s to Present</w:t>
      </w:r>
      <w:r>
        <w:t>. May 2006.</w:t>
      </w:r>
    </w:p>
    <w:p w14:paraId="28E36EA5" w14:textId="59AE5629" w:rsidR="00726E2A" w:rsidRPr="00726E2A" w:rsidRDefault="00726E2A" w:rsidP="00D75382">
      <w:pPr>
        <w:pStyle w:val="References"/>
      </w:pPr>
      <w:r>
        <w:t xml:space="preserve">State of California Department of Public Works, Division of Water Resources. (1942). </w:t>
      </w:r>
      <w:r>
        <w:rPr>
          <w:i/>
        </w:rPr>
        <w:t xml:space="preserve">Use of Water by Native Vegetation, </w:t>
      </w:r>
      <w:r>
        <w:t>Bulletin No. 50: Berkley, CA: DWR.</w:t>
      </w:r>
    </w:p>
    <w:p w14:paraId="448EAC0C" w14:textId="77777777" w:rsidR="005533A6" w:rsidRDefault="005533A6" w:rsidP="005533A6">
      <w:pPr>
        <w:pStyle w:val="References"/>
      </w:pPr>
      <w:r>
        <w:t xml:space="preserve">Wildermuth Environmental, Inc. (2014). </w:t>
      </w:r>
      <w:r>
        <w:rPr>
          <w:i/>
        </w:rPr>
        <w:t>Draft 2013 Chino Basin Groundwater Model Update and Recalculation of Safe Yield Pursuant to the Peace Agreement</w:t>
      </w:r>
      <w:r>
        <w:t>. Lake Forest: Author.</w:t>
      </w:r>
    </w:p>
    <w:p w14:paraId="7E39EF65" w14:textId="77777777" w:rsidR="005533A6" w:rsidRDefault="005533A6" w:rsidP="00913EC8">
      <w:pPr>
        <w:pStyle w:val="References"/>
      </w:pPr>
      <w:r>
        <w:t xml:space="preserve">Wildermuth Environmental, Inc. (2015). </w:t>
      </w:r>
      <w:r>
        <w:rPr>
          <w:i/>
        </w:rPr>
        <w:t>Addendum to the 2008 Santa Ana River Wasteload Allocation Model Report: Scenario 8</w:t>
      </w:r>
      <w:r>
        <w:t>. Lake Forest: Author.</w:t>
      </w:r>
    </w:p>
    <w:p w14:paraId="77B729FF" w14:textId="48D304E9" w:rsidR="00913EC8" w:rsidRDefault="00913EC8" w:rsidP="00913EC8">
      <w:pPr>
        <w:pStyle w:val="References"/>
      </w:pPr>
      <w:r w:rsidRPr="00DD2A88">
        <w:t xml:space="preserve">Wildermuth Environmental, Inc. (2015). </w:t>
      </w:r>
      <w:r w:rsidRPr="00DD2A88">
        <w:rPr>
          <w:i/>
        </w:rPr>
        <w:t xml:space="preserve">Salt and Nutrient Management Plan for the Upper Temescal Valley </w:t>
      </w:r>
      <w:r w:rsidRPr="00DD2A88">
        <w:t>(Working Report). Lake Forest: Author.</w:t>
      </w:r>
    </w:p>
    <w:p w14:paraId="6B96409E" w14:textId="77777777" w:rsidR="005533A6" w:rsidRDefault="005533A6" w:rsidP="005533A6">
      <w:pPr>
        <w:pStyle w:val="References"/>
        <w:sectPr w:rsidR="005533A6" w:rsidSect="004D1467">
          <w:headerReference w:type="default" r:id="rId33"/>
          <w:pgSz w:w="12240" w:h="15840" w:code="1"/>
          <w:pgMar w:top="1138" w:right="1728" w:bottom="1440" w:left="1728" w:header="864" w:footer="864" w:gutter="0"/>
          <w:pgNumType w:start="1" w:chapStyle="1"/>
          <w:cols w:space="720"/>
          <w:titlePg/>
          <w:docGrid w:linePitch="299"/>
        </w:sectPr>
      </w:pPr>
    </w:p>
    <w:p w14:paraId="41BFE679" w14:textId="04F457E8" w:rsidR="007C4A4A" w:rsidRPr="00EF5D58" w:rsidRDefault="00EF5D58" w:rsidP="00EF5D58">
      <w:pPr>
        <w:pStyle w:val="Appendixtitle"/>
        <w:pBdr>
          <w:bottom w:val="none" w:sz="0" w:space="0" w:color="auto"/>
        </w:pBdr>
        <w:spacing w:before="0"/>
        <w:jc w:val="center"/>
        <w:rPr>
          <w:rFonts w:asciiTheme="minorHAnsi" w:hAnsiTheme="minorHAnsi"/>
          <w:color w:val="auto"/>
          <w:sz w:val="22"/>
          <w:szCs w:val="22"/>
        </w:rPr>
      </w:pPr>
      <w:r w:rsidRPr="00EF5D58">
        <w:rPr>
          <w:rFonts w:asciiTheme="minorHAnsi" w:hAnsiTheme="minorHAnsi"/>
          <w:color w:val="auto"/>
          <w:sz w:val="22"/>
          <w:szCs w:val="22"/>
        </w:rPr>
        <w:t>[blank]</w:t>
      </w:r>
    </w:p>
    <w:sectPr w:rsidR="007C4A4A" w:rsidRPr="00EF5D58" w:rsidSect="00B871EA">
      <w:headerReference w:type="even" r:id="rId34"/>
      <w:headerReference w:type="default" r:id="rId35"/>
      <w:footerReference w:type="default" r:id="rId36"/>
      <w:headerReference w:type="first" r:id="rId37"/>
      <w:pgSz w:w="12240" w:h="15840" w:code="1"/>
      <w:pgMar w:top="1267" w:right="1728" w:bottom="1440" w:left="1728" w:header="1008" w:footer="864"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7" w:author="Jesus Gastelum" w:date="2015-10-15T16:40:00Z" w:initials="JG">
    <w:p w14:paraId="66A127D8" w14:textId="10101F04" w:rsidR="00FE2908" w:rsidRDefault="00FE2908">
      <w:pPr>
        <w:pStyle w:val="CommentText"/>
      </w:pPr>
      <w:r>
        <w:rPr>
          <w:rStyle w:val="CommentReference"/>
        </w:rPr>
        <w:annotationRef/>
      </w:r>
      <w:r>
        <w:t>Use attached pumping test for Flagler wells implemented in 2014. It provides Transmissivity and Specific Capacity values</w:t>
      </w:r>
    </w:p>
  </w:comment>
  <w:comment w:id="39" w:author="Jesus Gastelum" w:date="2015-10-15T17:16:00Z" w:initials="JG">
    <w:p w14:paraId="3404EEE0" w14:textId="13112D92" w:rsidR="00B76A87" w:rsidRDefault="00B76A87">
      <w:pPr>
        <w:pStyle w:val="CommentText"/>
      </w:pPr>
      <w:r>
        <w:rPr>
          <w:rStyle w:val="CommentReference"/>
        </w:rPr>
        <w:annotationRef/>
      </w:r>
      <w:r>
        <w:t xml:space="preserve">If possible, </w:t>
      </w:r>
      <w:r w:rsidR="00180524">
        <w:t>for the cited periods or couple of them</w:t>
      </w:r>
      <w:r w:rsidR="00471CBB">
        <w:t xml:space="preserve"> and based on the obtained data</w:t>
      </w:r>
      <w:r w:rsidR="00180524">
        <w:t xml:space="preserve">, </w:t>
      </w:r>
      <w:r>
        <w:t>prepare a summary table to show evolution of the most important inflow</w:t>
      </w:r>
      <w:r w:rsidR="007E4BF4">
        <w:t>s</w:t>
      </w:r>
      <w:r>
        <w:t xml:space="preserve"> (surface water, return flow, recycled water) and outflows (pumping, evapotranspiration). To the extent possible, provide with a rough safe yield estimate.</w:t>
      </w:r>
    </w:p>
  </w:comment>
  <w:comment w:id="50" w:author="Jesus Gastelum" w:date="2015-10-15T17:25:00Z" w:initials="JG">
    <w:p w14:paraId="35C8821A" w14:textId="6AE1690C" w:rsidR="00352C39" w:rsidRDefault="00352C39">
      <w:pPr>
        <w:pStyle w:val="CommentText"/>
      </w:pPr>
      <w:r>
        <w:rPr>
          <w:rStyle w:val="CommentReference"/>
        </w:rPr>
        <w:annotationRef/>
      </w:r>
      <w:r w:rsidR="001F6083">
        <w:t>I will also propose to implement</w:t>
      </w:r>
      <w:r>
        <w:t xml:space="preserve"> a couple of geophysical surveys and gravity data analysis to improve understanding of hydrogeological conditions of the aquifer.</w:t>
      </w:r>
    </w:p>
  </w:comment>
  <w:comment w:id="53" w:author="Jesus Gastelum" w:date="2015-10-15T17:24:00Z" w:initials="JG">
    <w:p w14:paraId="1A403D65" w14:textId="2172D18C" w:rsidR="007C76E2" w:rsidRDefault="007C76E2">
      <w:pPr>
        <w:pStyle w:val="CommentText"/>
      </w:pPr>
      <w:r>
        <w:rPr>
          <w:rStyle w:val="CommentReference"/>
        </w:rPr>
        <w:annotationRef/>
      </w:r>
      <w:r>
        <w:t>Based on the suggested estimation of rough safe yield values, this number can be refined/revised.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A127D8" w15:done="0"/>
  <w15:commentEx w15:paraId="3404EEE0" w15:done="0"/>
  <w15:commentEx w15:paraId="35C8821A" w15:done="0"/>
  <w15:commentEx w15:paraId="1A403D6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D7C4B" w16cex:dateUtc="2015-10-15T23:40:00Z"/>
  <w16cex:commentExtensible w16cex:durableId="257D7C4C" w16cex:dateUtc="2015-10-16T00:16:00Z"/>
  <w16cex:commentExtensible w16cex:durableId="257D7C4D" w16cex:dateUtc="2015-10-16T00:25:00Z"/>
  <w16cex:commentExtensible w16cex:durableId="257D7C4E" w16cex:dateUtc="2015-10-16T0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A127D8" w16cid:durableId="257D7C4B"/>
  <w16cid:commentId w16cid:paraId="3404EEE0" w16cid:durableId="257D7C4C"/>
  <w16cid:commentId w16cid:paraId="35C8821A" w16cid:durableId="257D7C4D"/>
  <w16cid:commentId w16cid:paraId="1A403D65" w16cid:durableId="257D7C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930B3" w14:textId="77777777" w:rsidR="00CA575E" w:rsidRDefault="00CA575E">
      <w:r>
        <w:separator/>
      </w:r>
    </w:p>
  </w:endnote>
  <w:endnote w:type="continuationSeparator" w:id="0">
    <w:p w14:paraId="2A8FB996" w14:textId="77777777" w:rsidR="00CA575E" w:rsidRDefault="00CA575E">
      <w:r>
        <w:continuationSeparator/>
      </w:r>
    </w:p>
  </w:endnote>
  <w:endnote w:type="continuationNotice" w:id="1">
    <w:p w14:paraId="3DF1EBCF" w14:textId="77777777" w:rsidR="00CA575E" w:rsidRDefault="00CA57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Heavy">
    <w:altName w:val="Helvetica Neue Thin"/>
    <w:panose1 w:val="020B0903020102020204"/>
    <w:charset w:val="00"/>
    <w:family w:val="swiss"/>
    <w:pitch w:val="variable"/>
    <w:sig w:usb0="00000287" w:usb1="00000000" w:usb2="00000000" w:usb3="00000000" w:csb0="0000009F" w:csb1="00000000"/>
  </w:font>
  <w:font w:name="Franklin Gothic Demi">
    <w:altName w:val="Arial"/>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Futura Lt BT">
    <w:altName w:val="Century Gothic"/>
    <w:charset w:val="00"/>
    <w:family w:val="swiss"/>
    <w:pitch w:val="variable"/>
    <w:sig w:usb0="00000087" w:usb1="00000000" w:usb2="00000000" w:usb3="00000000" w:csb0="0000001B"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Univers 47 CondensedLight">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lbertus Medium">
    <w:altName w:val="Candar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363B2" w14:textId="77777777" w:rsidR="00CA575E" w:rsidRPr="00D24972" w:rsidRDefault="00CA575E" w:rsidP="00D24972">
    <w:pPr>
      <w:pStyle w:val="Footer"/>
      <w:pBdr>
        <w:top w:val="none" w:sz="0" w:space="0" w:color="auto"/>
      </w:pBdr>
      <w:spacing w:line="240" w:lineRule="auto"/>
      <w:jc w:val="center"/>
      <w:rPr>
        <w:rFonts w:ascii="Helvetica" w:hAnsi="Helvetica"/>
        <w:b/>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8068C" w14:textId="77777777" w:rsidR="00CA575E" w:rsidRDefault="00CA575E" w:rsidP="00D24972">
    <w:pPr>
      <w:pStyle w:val="Footer"/>
      <w:pBdr>
        <w:top w:val="none" w:sz="0" w:space="0" w:color="auto"/>
      </w:pBdr>
      <w:spacing w:line="240" w:lineRule="auto"/>
      <w:jc w:val="center"/>
      <w:rPr>
        <w:rFonts w:ascii="Helvetica" w:hAnsi="Helvetica"/>
        <w:b/>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8A492" w14:textId="36AEAE4C" w:rsidR="00CA575E" w:rsidRPr="00D24972" w:rsidRDefault="00CA575E" w:rsidP="00C26F4B">
    <w:pPr>
      <w:pStyle w:val="Footer"/>
      <w:pBdr>
        <w:top w:val="none" w:sz="0" w:space="0" w:color="auto"/>
      </w:pBdr>
      <w:tabs>
        <w:tab w:val="left" w:pos="4150"/>
        <w:tab w:val="center" w:pos="4392"/>
      </w:tabs>
      <w:spacing w:line="240" w:lineRule="auto"/>
      <w:jc w:val="left"/>
      <w:rPr>
        <w:rFonts w:ascii="Helvetica" w:hAnsi="Helvetica"/>
        <w:b/>
        <w:sz w:val="16"/>
      </w:rPr>
    </w:pPr>
    <w:r>
      <w:rPr>
        <w:rFonts w:ascii="Helvetica" w:hAnsi="Helvetica"/>
        <w:b/>
        <w:sz w:val="16"/>
      </w:rPr>
      <w:tab/>
    </w:r>
    <w:r>
      <w:rPr>
        <w:rFonts w:ascii="Helvetica" w:hAnsi="Helvetica"/>
        <w:b/>
        <w:noProof/>
        <w:sz w:val="16"/>
      </w:rPr>
      <mc:AlternateContent>
        <mc:Choice Requires="wpg">
          <w:drawing>
            <wp:anchor distT="0" distB="0" distL="114300" distR="114300" simplePos="0" relativeHeight="251651072" behindDoc="0" locked="0" layoutInCell="1" allowOverlap="1" wp14:anchorId="66616C41" wp14:editId="1FF5AFE2">
              <wp:simplePos x="0" y="0"/>
              <wp:positionH relativeFrom="column">
                <wp:posOffset>-8890</wp:posOffset>
              </wp:positionH>
              <wp:positionV relativeFrom="paragraph">
                <wp:posOffset>-73025</wp:posOffset>
              </wp:positionV>
              <wp:extent cx="5596128" cy="557784"/>
              <wp:effectExtent l="0" t="0" r="5080" b="0"/>
              <wp:wrapNone/>
              <wp:docPr id="18" name="Group 18"/>
              <wp:cNvGraphicFramePr/>
              <a:graphic xmlns:a="http://schemas.openxmlformats.org/drawingml/2006/main">
                <a:graphicData uri="http://schemas.microsoft.com/office/word/2010/wordprocessingGroup">
                  <wpg:wgp>
                    <wpg:cNvGrpSpPr/>
                    <wpg:grpSpPr>
                      <a:xfrm>
                        <a:off x="0" y="0"/>
                        <a:ext cx="5596128" cy="557784"/>
                        <a:chOff x="0" y="0"/>
                        <a:chExt cx="5594400" cy="556740"/>
                      </a:xfrm>
                    </wpg:grpSpPr>
                    <wps:wsp>
                      <wps:cNvPr id="19" name="Text Box 94"/>
                      <wps:cNvSpPr txBox="1">
                        <a:spLocks noChangeArrowheads="1"/>
                      </wps:cNvSpPr>
                      <wps:spPr bwMode="auto">
                        <a:xfrm>
                          <a:off x="2462400" y="187200"/>
                          <a:ext cx="74549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143D2" w14:textId="77777777" w:rsidR="00CA575E" w:rsidRPr="008668DA" w:rsidRDefault="00CA575E" w:rsidP="003B0F9D">
                            <w:pPr>
                              <w:ind w:left="360"/>
                              <w:rPr>
                                <w:rFonts w:ascii="Futura Lt BT" w:hAnsi="Futura Lt BT"/>
                                <w:sz w:val="16"/>
                              </w:rPr>
                            </w:pPr>
                            <w:r w:rsidRPr="008668DA">
                              <w:rPr>
                                <w:rFonts w:ascii="Futura Lt BT" w:hAnsi="Futura Lt BT"/>
                                <w:sz w:val="16"/>
                              </w:rPr>
                              <w:fldChar w:fldCharType="begin"/>
                            </w:r>
                            <w:r w:rsidRPr="008668DA">
                              <w:rPr>
                                <w:rFonts w:ascii="Futura Lt BT" w:hAnsi="Futura Lt BT"/>
                                <w:sz w:val="16"/>
                              </w:rPr>
                              <w:instrText xml:space="preserve"> PAGE   \* MERGEFORMAT </w:instrText>
                            </w:r>
                            <w:r w:rsidRPr="008668DA">
                              <w:rPr>
                                <w:rFonts w:ascii="Futura Lt BT" w:hAnsi="Futura Lt BT"/>
                                <w:sz w:val="16"/>
                              </w:rPr>
                              <w:fldChar w:fldCharType="separate"/>
                            </w:r>
                            <w:r w:rsidR="00471CBB">
                              <w:rPr>
                                <w:rFonts w:ascii="Futura Lt BT" w:hAnsi="Futura Lt BT"/>
                                <w:noProof/>
                                <w:sz w:val="16"/>
                              </w:rPr>
                              <w:t>3-9</w:t>
                            </w:r>
                            <w:r w:rsidRPr="008668DA">
                              <w:rPr>
                                <w:rFonts w:ascii="Futura Lt BT" w:hAnsi="Futura Lt BT"/>
                                <w:sz w:val="16"/>
                              </w:rPr>
                              <w:fldChar w:fldCharType="end"/>
                            </w:r>
                          </w:p>
                        </w:txbxContent>
                      </wps:txbx>
                      <wps:bodyPr rot="0" vert="horz" wrap="square" lIns="91440" tIns="45720" rIns="91440" bIns="45720" anchor="t" anchorCtr="0" upright="1">
                        <a:noAutofit/>
                      </wps:bodyPr>
                    </wps:wsp>
                    <wps:wsp>
                      <wps:cNvPr id="21" name="Text Box 97"/>
                      <wps:cNvSpPr txBox="1">
                        <a:spLocks noChangeArrowheads="1"/>
                      </wps:cNvSpPr>
                      <wps:spPr bwMode="auto">
                        <a:xfrm>
                          <a:off x="21600" y="122400"/>
                          <a:ext cx="1101090" cy="434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03C8E6" w14:textId="716802C0" w:rsidR="00CA575E" w:rsidRDefault="00CA575E" w:rsidP="003B0F9D">
                            <w:pPr>
                              <w:rPr>
                                <w:rStyle w:val="PageNumber"/>
                              </w:rPr>
                            </w:pPr>
                            <w:r>
                              <w:rPr>
                                <w:rStyle w:val="PageNumber"/>
                              </w:rPr>
                              <w:fldChar w:fldCharType="begin"/>
                            </w:r>
                            <w:r>
                              <w:rPr>
                                <w:rStyle w:val="PageNumber"/>
                              </w:rPr>
                              <w:instrText xml:space="preserve"> DATE  \@ "MMMM yyyy"  \* MERGEFORMAT </w:instrText>
                            </w:r>
                            <w:r>
                              <w:rPr>
                                <w:rStyle w:val="PageNumber"/>
                              </w:rPr>
                              <w:fldChar w:fldCharType="separate"/>
                            </w:r>
                            <w:r w:rsidR="002242DE">
                              <w:rPr>
                                <w:rStyle w:val="PageNumber"/>
                                <w:noProof/>
                              </w:rPr>
                              <w:t>January 2022</w:t>
                            </w:r>
                            <w:r>
                              <w:rPr>
                                <w:rStyle w:val="PageNumber"/>
                              </w:rPr>
                              <w:fldChar w:fldCharType="end"/>
                            </w:r>
                          </w:p>
                          <w:p w14:paraId="3C3EF1E7" w14:textId="77777777" w:rsidR="00CA575E" w:rsidRDefault="00CA575E" w:rsidP="003B0F9D">
                            <w:pPr>
                              <w:rPr>
                                <w:rStyle w:val="PageNumber"/>
                              </w:rPr>
                            </w:pPr>
                            <w:r>
                              <w:rPr>
                                <w:rStyle w:val="PageNumber"/>
                              </w:rPr>
                              <w:t>034-011</w:t>
                            </w:r>
                          </w:p>
                          <w:p w14:paraId="55D2F64B" w14:textId="77777777" w:rsidR="00CA575E" w:rsidRPr="000904F8" w:rsidRDefault="00CA575E" w:rsidP="003B0F9D">
                            <w:pPr>
                              <w:rPr>
                                <w:rFonts w:ascii="Futura Lt BT" w:hAnsi="Futura Lt BT"/>
                              </w:rPr>
                            </w:pPr>
                          </w:p>
                        </w:txbxContent>
                      </wps:txbx>
                      <wps:bodyPr rot="0" vert="horz" wrap="square" lIns="91440" tIns="45720" rIns="91440" bIns="45720" anchor="t" anchorCtr="0" upright="1">
                        <a:noAutofit/>
                      </wps:bodyPr>
                    </wps:wsp>
                    <pic:pic xmlns:pic="http://schemas.openxmlformats.org/drawingml/2006/picture">
                      <pic:nvPicPr>
                        <pic:cNvPr id="22" name="Picture 2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4400" cy="50400"/>
                        </a:xfrm>
                        <a:prstGeom prst="rect">
                          <a:avLst/>
                        </a:prstGeom>
                        <a:noFill/>
                      </pic:spPr>
                    </pic:pic>
                    <pic:pic xmlns:pic="http://schemas.openxmlformats.org/drawingml/2006/picture">
                      <pic:nvPicPr>
                        <pic:cNvPr id="26" name="Picture 26"/>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205600" y="165600"/>
                          <a:ext cx="309600" cy="309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6616C41" id="Group 18" o:spid="_x0000_s1026" style="position:absolute;margin-left:-.7pt;margin-top:-5.75pt;width:440.65pt;height:43.9pt;z-index:251651072;mso-width-relative:margin;mso-height-relative:margin" coordsize="55944,5567"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">
              <v:shapetype id="_x0000_t202" coordsize="21600,21600" o:spt="202" path="m,l,21600r21600,l21600,xe">
                <v:stroke joinstyle="miter"/>
                <v:path gradientshapeok="t" o:connecttype="rect"/>
              </v:shapetype>
              <v:shape id="_x0000_s1027" type="#_x0000_t202" style="position:absolute;left:24624;top:1872;width:7454;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6F3143D2" w14:textId="77777777" w:rsidR="00CA575E" w:rsidRPr="008668DA" w:rsidRDefault="00CA575E" w:rsidP="003B0F9D">
                      <w:pPr>
                        <w:ind w:left="360"/>
                        <w:rPr>
                          <w:rFonts w:ascii="Futura Lt BT" w:hAnsi="Futura Lt BT"/>
                          <w:sz w:val="16"/>
                        </w:rPr>
                      </w:pPr>
                      <w:r w:rsidRPr="008668DA">
                        <w:rPr>
                          <w:rFonts w:ascii="Futura Lt BT" w:hAnsi="Futura Lt BT"/>
                          <w:sz w:val="16"/>
                        </w:rPr>
                        <w:fldChar w:fldCharType="begin"/>
                      </w:r>
                      <w:r w:rsidRPr="008668DA">
                        <w:rPr>
                          <w:rFonts w:ascii="Futura Lt BT" w:hAnsi="Futura Lt BT"/>
                          <w:sz w:val="16"/>
                        </w:rPr>
                        <w:instrText xml:space="preserve"> PAGE   \* MERGEFORMAT </w:instrText>
                      </w:r>
                      <w:r w:rsidRPr="008668DA">
                        <w:rPr>
                          <w:rFonts w:ascii="Futura Lt BT" w:hAnsi="Futura Lt BT"/>
                          <w:sz w:val="16"/>
                        </w:rPr>
                        <w:fldChar w:fldCharType="separate"/>
                      </w:r>
                      <w:r w:rsidR="00471CBB">
                        <w:rPr>
                          <w:rFonts w:ascii="Futura Lt BT" w:hAnsi="Futura Lt BT"/>
                          <w:noProof/>
                          <w:sz w:val="16"/>
                        </w:rPr>
                        <w:t>3-9</w:t>
                      </w:r>
                      <w:r w:rsidRPr="008668DA">
                        <w:rPr>
                          <w:rFonts w:ascii="Futura Lt BT" w:hAnsi="Futura Lt BT"/>
                          <w:sz w:val="16"/>
                        </w:rPr>
                        <w:fldChar w:fldCharType="end"/>
                      </w:r>
                    </w:p>
                  </w:txbxContent>
                </v:textbox>
              </v:shape>
              <v:shape id="_x0000_s1028" type="#_x0000_t202" style="position:absolute;left:216;top:1224;width:11010;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5003C8E6" w14:textId="716802C0" w:rsidR="00CA575E" w:rsidRDefault="00CA575E" w:rsidP="003B0F9D">
                      <w:pPr>
                        <w:rPr>
                          <w:rStyle w:val="PageNumber"/>
                        </w:rPr>
                      </w:pPr>
                      <w:r>
                        <w:rPr>
                          <w:rStyle w:val="PageNumber"/>
                        </w:rPr>
                        <w:fldChar w:fldCharType="begin"/>
                      </w:r>
                      <w:r>
                        <w:rPr>
                          <w:rStyle w:val="PageNumber"/>
                        </w:rPr>
                        <w:instrText xml:space="preserve"> DATE  \@ "MMMM yyyy"  \* MERGEFORMAT </w:instrText>
                      </w:r>
                      <w:r>
                        <w:rPr>
                          <w:rStyle w:val="PageNumber"/>
                        </w:rPr>
                        <w:fldChar w:fldCharType="separate"/>
                      </w:r>
                      <w:r w:rsidR="002242DE">
                        <w:rPr>
                          <w:rStyle w:val="PageNumber"/>
                          <w:noProof/>
                        </w:rPr>
                        <w:t>January 2022</w:t>
                      </w:r>
                      <w:r>
                        <w:rPr>
                          <w:rStyle w:val="PageNumber"/>
                        </w:rPr>
                        <w:fldChar w:fldCharType="end"/>
                      </w:r>
                    </w:p>
                    <w:p w14:paraId="3C3EF1E7" w14:textId="77777777" w:rsidR="00CA575E" w:rsidRDefault="00CA575E" w:rsidP="003B0F9D">
                      <w:pPr>
                        <w:rPr>
                          <w:rStyle w:val="PageNumber"/>
                        </w:rPr>
                      </w:pPr>
                      <w:r>
                        <w:rPr>
                          <w:rStyle w:val="PageNumber"/>
                        </w:rPr>
                        <w:t>034-011</w:t>
                      </w:r>
                    </w:p>
                    <w:p w14:paraId="55D2F64B" w14:textId="77777777" w:rsidR="00CA575E" w:rsidRPr="000904F8" w:rsidRDefault="00CA575E" w:rsidP="003B0F9D">
                      <w:pPr>
                        <w:rPr>
                          <w:rFonts w:ascii="Futura Lt BT" w:hAnsi="Futura Lt BT"/>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9" type="#_x0000_t75" style="position:absolute;width:55944;height: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">
                <v:imagedata r:id="rId3" o:title=""/>
              </v:shape>
              <v:shape id="Picture 26" o:spid="_x0000_s1030" type="#_x0000_t75" style="position:absolute;left:52056;top:1656;width:3096;height:3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">
                <v:imagedata r:id="rId4" o:title=""/>
              </v:shape>
            </v:group>
          </w:pict>
        </mc:Fallback>
      </mc:AlternateContent>
    </w:r>
    <w:r>
      <w:rPr>
        <w:rFonts w:ascii="Helvetica" w:hAnsi="Helvetica"/>
        <w:b/>
        <w:sz w:val="16"/>
      </w:rPr>
      <w:tab/>
    </w:r>
    <w:r>
      <w:rPr>
        <w:rFonts w:ascii="Helvetica" w:hAnsi="Helvetica"/>
        <w:b/>
        <w:sz w:val="16"/>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F161D" w14:textId="570CB610" w:rsidR="00CA575E" w:rsidRDefault="00CA575E" w:rsidP="00D24972">
    <w:pPr>
      <w:pStyle w:val="Footer"/>
      <w:pBdr>
        <w:top w:val="none" w:sz="0" w:space="0" w:color="auto"/>
      </w:pBdr>
      <w:spacing w:line="240" w:lineRule="auto"/>
      <w:jc w:val="center"/>
      <w:rPr>
        <w:rFonts w:ascii="Helvetica" w:hAnsi="Helvetica"/>
        <w:b/>
        <w:sz w:val="16"/>
      </w:rPr>
    </w:pPr>
    <w:r>
      <w:rPr>
        <w:rFonts w:ascii="Helvetica" w:hAnsi="Helvetica"/>
        <w:b/>
        <w:noProof/>
        <w:sz w:val="16"/>
      </w:rPr>
      <mc:AlternateContent>
        <mc:Choice Requires="wpg">
          <w:drawing>
            <wp:anchor distT="0" distB="0" distL="114300" distR="114300" simplePos="0" relativeHeight="251650048" behindDoc="0" locked="0" layoutInCell="1" allowOverlap="1" wp14:anchorId="1DB178A1" wp14:editId="2F692960">
              <wp:simplePos x="0" y="0"/>
              <wp:positionH relativeFrom="column">
                <wp:posOffset>-10080</wp:posOffset>
              </wp:positionH>
              <wp:positionV relativeFrom="paragraph">
                <wp:posOffset>-76120</wp:posOffset>
              </wp:positionV>
              <wp:extent cx="5594400" cy="556740"/>
              <wp:effectExtent l="0" t="0" r="6350" b="0"/>
              <wp:wrapNone/>
              <wp:docPr id="17" name="Group 17"/>
              <wp:cNvGraphicFramePr/>
              <a:graphic xmlns:a="http://schemas.openxmlformats.org/drawingml/2006/main">
                <a:graphicData uri="http://schemas.microsoft.com/office/word/2010/wordprocessingGroup">
                  <wpg:wgp>
                    <wpg:cNvGrpSpPr/>
                    <wpg:grpSpPr>
                      <a:xfrm>
                        <a:off x="0" y="0"/>
                        <a:ext cx="5594400" cy="556740"/>
                        <a:chOff x="0" y="0"/>
                        <a:chExt cx="5594400" cy="556740"/>
                      </a:xfrm>
                    </wpg:grpSpPr>
                    <wps:wsp>
                      <wps:cNvPr id="23" name="Text Box 94"/>
                      <wps:cNvSpPr txBox="1">
                        <a:spLocks noChangeArrowheads="1"/>
                      </wps:cNvSpPr>
                      <wps:spPr bwMode="auto">
                        <a:xfrm>
                          <a:off x="2462400" y="187200"/>
                          <a:ext cx="74549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7FB8C" w14:textId="77777777" w:rsidR="00CA575E" w:rsidRPr="008668DA" w:rsidRDefault="00CA575E">
                            <w:pPr>
                              <w:ind w:left="360"/>
                              <w:rPr>
                                <w:rFonts w:ascii="Futura Lt BT" w:hAnsi="Futura Lt BT"/>
                                <w:sz w:val="16"/>
                              </w:rPr>
                            </w:pPr>
                            <w:r w:rsidRPr="008668DA">
                              <w:rPr>
                                <w:rFonts w:ascii="Futura Lt BT" w:hAnsi="Futura Lt BT"/>
                                <w:sz w:val="16"/>
                              </w:rPr>
                              <w:fldChar w:fldCharType="begin"/>
                            </w:r>
                            <w:r w:rsidRPr="008668DA">
                              <w:rPr>
                                <w:rFonts w:ascii="Futura Lt BT" w:hAnsi="Futura Lt BT"/>
                                <w:sz w:val="16"/>
                              </w:rPr>
                              <w:instrText xml:space="preserve"> PAGE   \* MERGEFORMAT </w:instrText>
                            </w:r>
                            <w:r w:rsidRPr="008668DA">
                              <w:rPr>
                                <w:rFonts w:ascii="Futura Lt BT" w:hAnsi="Futura Lt BT"/>
                                <w:sz w:val="16"/>
                              </w:rPr>
                              <w:fldChar w:fldCharType="separate"/>
                            </w:r>
                            <w:r w:rsidR="00471CBB">
                              <w:rPr>
                                <w:rFonts w:ascii="Futura Lt BT" w:hAnsi="Futura Lt BT"/>
                                <w:noProof/>
                                <w:sz w:val="16"/>
                              </w:rPr>
                              <w:t>1-1</w:t>
                            </w:r>
                            <w:r w:rsidRPr="008668DA">
                              <w:rPr>
                                <w:rFonts w:ascii="Futura Lt BT" w:hAnsi="Futura Lt BT"/>
                                <w:sz w:val="16"/>
                              </w:rPr>
                              <w:fldChar w:fldCharType="end"/>
                            </w:r>
                          </w:p>
                        </w:txbxContent>
                      </wps:txbx>
                      <wps:bodyPr rot="0" vert="horz" wrap="square" lIns="91440" tIns="45720" rIns="91440" bIns="45720" anchor="t" anchorCtr="0" upright="1">
                        <a:noAutofit/>
                      </wps:bodyPr>
                    </wps:wsp>
                    <wps:wsp>
                      <wps:cNvPr id="24" name="Text Box 97"/>
                      <wps:cNvSpPr txBox="1">
                        <a:spLocks noChangeArrowheads="1"/>
                      </wps:cNvSpPr>
                      <wps:spPr bwMode="auto">
                        <a:xfrm>
                          <a:off x="21600" y="122400"/>
                          <a:ext cx="1101090" cy="434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15D53" w14:textId="35B502AA" w:rsidR="00CA575E" w:rsidRDefault="00CA575E" w:rsidP="006A3548">
                            <w:pPr>
                              <w:rPr>
                                <w:rStyle w:val="PageNumber"/>
                              </w:rPr>
                            </w:pPr>
                            <w:r>
                              <w:rPr>
                                <w:rStyle w:val="PageNumber"/>
                              </w:rPr>
                              <w:fldChar w:fldCharType="begin"/>
                            </w:r>
                            <w:r>
                              <w:rPr>
                                <w:rStyle w:val="PageNumber"/>
                              </w:rPr>
                              <w:instrText xml:space="preserve"> DATE  \@ "MMMM yyyy"  \* MERGEFORMAT </w:instrText>
                            </w:r>
                            <w:r>
                              <w:rPr>
                                <w:rStyle w:val="PageNumber"/>
                              </w:rPr>
                              <w:fldChar w:fldCharType="separate"/>
                            </w:r>
                            <w:r w:rsidR="002242DE">
                              <w:rPr>
                                <w:rStyle w:val="PageNumber"/>
                                <w:noProof/>
                              </w:rPr>
                              <w:t>January 2022</w:t>
                            </w:r>
                            <w:r>
                              <w:rPr>
                                <w:rStyle w:val="PageNumber"/>
                              </w:rPr>
                              <w:fldChar w:fldCharType="end"/>
                            </w:r>
                          </w:p>
                          <w:p w14:paraId="49E60FD8" w14:textId="77777777" w:rsidR="00CA575E" w:rsidRDefault="00CA575E" w:rsidP="00A852B9">
                            <w:pPr>
                              <w:rPr>
                                <w:rStyle w:val="PageNumber"/>
                              </w:rPr>
                            </w:pPr>
                            <w:r>
                              <w:rPr>
                                <w:rStyle w:val="PageNumber"/>
                              </w:rPr>
                              <w:t>034-011</w:t>
                            </w:r>
                          </w:p>
                          <w:p w14:paraId="19FAB161" w14:textId="77777777" w:rsidR="00CA575E" w:rsidRPr="000904F8" w:rsidRDefault="00CA575E" w:rsidP="00A852B9">
                            <w:pPr>
                              <w:rPr>
                                <w:rFonts w:ascii="Futura Lt BT" w:hAnsi="Futura Lt BT"/>
                              </w:rPr>
                            </w:pPr>
                          </w:p>
                        </w:txbxContent>
                      </wps:txbx>
                      <wps:bodyPr rot="0" vert="horz" wrap="square" lIns="91440" tIns="45720" rIns="91440" bIns="45720" anchor="t" anchorCtr="0" upright="1">
                        <a:noAutofit/>
                      </wps:bodyPr>
                    </wps:wsp>
                    <pic:pic xmlns:pic="http://schemas.openxmlformats.org/drawingml/2006/picture">
                      <pic:nvPicPr>
                        <pic:cNvPr id="6" name="Picture 6"/>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4400" cy="50400"/>
                        </a:xfrm>
                        <a:prstGeom prst="rect">
                          <a:avLst/>
                        </a:prstGeom>
                        <a:noFill/>
                      </pic:spPr>
                    </pic:pic>
                    <pic:pic xmlns:pic="http://schemas.openxmlformats.org/drawingml/2006/picture">
                      <pic:nvPicPr>
                        <pic:cNvPr id="2" name="Picture 2"/>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205600" y="165600"/>
                          <a:ext cx="309600" cy="309600"/>
                        </a:xfrm>
                        <a:prstGeom prst="rect">
                          <a:avLst/>
                        </a:prstGeom>
                      </pic:spPr>
                    </pic:pic>
                  </wpg:wgp>
                </a:graphicData>
              </a:graphic>
            </wp:anchor>
          </w:drawing>
        </mc:Choice>
        <mc:Fallback>
          <w:pict>
            <v:group w14:anchorId="1DB178A1" id="Group 17" o:spid="_x0000_s1031" style="position:absolute;left:0;text-align:left;margin-left:-.8pt;margin-top:-6pt;width:440.5pt;height:43.85pt;z-index:251650048" coordsize="55944,5567"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">
              <v:shapetype id="_x0000_t202" coordsize="21600,21600" o:spt="202" path="m,l,21600r21600,l21600,xe">
                <v:stroke joinstyle="miter"/>
                <v:path gradientshapeok="t" o:connecttype="rect"/>
              </v:shapetype>
              <v:shape id="_x0000_s1032" type="#_x0000_t202" style="position:absolute;left:24624;top:1872;width:7454;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2C77FB8C" w14:textId="77777777" w:rsidR="00CA575E" w:rsidRPr="008668DA" w:rsidRDefault="00CA575E">
                      <w:pPr>
                        <w:ind w:left="360"/>
                        <w:rPr>
                          <w:rFonts w:ascii="Futura Lt BT" w:hAnsi="Futura Lt BT"/>
                          <w:sz w:val="16"/>
                        </w:rPr>
                      </w:pPr>
                      <w:r w:rsidRPr="008668DA">
                        <w:rPr>
                          <w:rFonts w:ascii="Futura Lt BT" w:hAnsi="Futura Lt BT"/>
                          <w:sz w:val="16"/>
                        </w:rPr>
                        <w:fldChar w:fldCharType="begin"/>
                      </w:r>
                      <w:r w:rsidRPr="008668DA">
                        <w:rPr>
                          <w:rFonts w:ascii="Futura Lt BT" w:hAnsi="Futura Lt BT"/>
                          <w:sz w:val="16"/>
                        </w:rPr>
                        <w:instrText xml:space="preserve"> PAGE   \* MERGEFORMAT </w:instrText>
                      </w:r>
                      <w:r w:rsidRPr="008668DA">
                        <w:rPr>
                          <w:rFonts w:ascii="Futura Lt BT" w:hAnsi="Futura Lt BT"/>
                          <w:sz w:val="16"/>
                        </w:rPr>
                        <w:fldChar w:fldCharType="separate"/>
                      </w:r>
                      <w:r w:rsidR="00471CBB">
                        <w:rPr>
                          <w:rFonts w:ascii="Futura Lt BT" w:hAnsi="Futura Lt BT"/>
                          <w:noProof/>
                          <w:sz w:val="16"/>
                        </w:rPr>
                        <w:t>1-1</w:t>
                      </w:r>
                      <w:r w:rsidRPr="008668DA">
                        <w:rPr>
                          <w:rFonts w:ascii="Futura Lt BT" w:hAnsi="Futura Lt BT"/>
                          <w:sz w:val="16"/>
                        </w:rPr>
                        <w:fldChar w:fldCharType="end"/>
                      </w:r>
                    </w:p>
                  </w:txbxContent>
                </v:textbox>
              </v:shape>
              <v:shape id="_x0000_s1033" type="#_x0000_t202" style="position:absolute;left:216;top:1224;width:11010;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3C815D53" w14:textId="35B502AA" w:rsidR="00CA575E" w:rsidRDefault="00CA575E" w:rsidP="006A3548">
                      <w:pPr>
                        <w:rPr>
                          <w:rStyle w:val="PageNumber"/>
                        </w:rPr>
                      </w:pPr>
                      <w:r>
                        <w:rPr>
                          <w:rStyle w:val="PageNumber"/>
                        </w:rPr>
                        <w:fldChar w:fldCharType="begin"/>
                      </w:r>
                      <w:r>
                        <w:rPr>
                          <w:rStyle w:val="PageNumber"/>
                        </w:rPr>
                        <w:instrText xml:space="preserve"> DATE  \@ "MMMM yyyy"  \* MERGEFORMAT </w:instrText>
                      </w:r>
                      <w:r>
                        <w:rPr>
                          <w:rStyle w:val="PageNumber"/>
                        </w:rPr>
                        <w:fldChar w:fldCharType="separate"/>
                      </w:r>
                      <w:r w:rsidR="002242DE">
                        <w:rPr>
                          <w:rStyle w:val="PageNumber"/>
                          <w:noProof/>
                        </w:rPr>
                        <w:t>January 2022</w:t>
                      </w:r>
                      <w:r>
                        <w:rPr>
                          <w:rStyle w:val="PageNumber"/>
                        </w:rPr>
                        <w:fldChar w:fldCharType="end"/>
                      </w:r>
                    </w:p>
                    <w:p w14:paraId="49E60FD8" w14:textId="77777777" w:rsidR="00CA575E" w:rsidRDefault="00CA575E" w:rsidP="00A852B9">
                      <w:pPr>
                        <w:rPr>
                          <w:rStyle w:val="PageNumber"/>
                        </w:rPr>
                      </w:pPr>
                      <w:r>
                        <w:rPr>
                          <w:rStyle w:val="PageNumber"/>
                        </w:rPr>
                        <w:t>034-011</w:t>
                      </w:r>
                    </w:p>
                    <w:p w14:paraId="19FAB161" w14:textId="77777777" w:rsidR="00CA575E" w:rsidRPr="000904F8" w:rsidRDefault="00CA575E" w:rsidP="00A852B9">
                      <w:pPr>
                        <w:rPr>
                          <w:rFonts w:ascii="Futura Lt BT" w:hAnsi="Futura Lt BT"/>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4" type="#_x0000_t75" style="position:absolute;width:55944;height: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">
                <v:imagedata r:id="rId3" o:title=""/>
              </v:shape>
              <v:shape id="Picture 2" o:spid="_x0000_s1035" type="#_x0000_t75" style="position:absolute;left:52056;top:1656;width:3096;height:3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">
                <v:imagedata r:id="rId4" o:title=""/>
              </v:shape>
            </v:group>
          </w:pict>
        </mc:Fallback>
      </mc:AlternateContent>
    </w:r>
    <w:r w:rsidRPr="00002090">
      <w:rPr>
        <w:rFonts w:ascii="Helvetica" w:hAnsi="Helvetica"/>
        <w:b/>
        <w:noProof/>
        <w:sz w:val="16"/>
      </w:rPr>
      <w:drawing>
        <wp:anchor distT="0" distB="0" distL="114300" distR="114300" simplePos="0" relativeHeight="251642880" behindDoc="1" locked="0" layoutInCell="1" allowOverlap="1" wp14:anchorId="5E9E4BE4" wp14:editId="70650B28">
          <wp:simplePos x="0" y="0"/>
          <wp:positionH relativeFrom="column">
            <wp:posOffset>5198793</wp:posOffset>
          </wp:positionH>
          <wp:positionV relativeFrom="paragraph">
            <wp:posOffset>86360</wp:posOffset>
          </wp:positionV>
          <wp:extent cx="310551" cy="310551"/>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I_globe_rgb.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10551" cy="310551"/>
                  </a:xfrm>
                  <a:prstGeom prst="rect">
                    <a:avLst/>
                  </a:prstGeom>
                </pic:spPr>
              </pic:pic>
            </a:graphicData>
          </a:graphic>
          <wp14:sizeRelH relativeFrom="page">
            <wp14:pctWidth>0</wp14:pctWidth>
          </wp14:sizeRelH>
          <wp14:sizeRelV relativeFrom="page">
            <wp14:pctHeight>0</wp14:pctHeight>
          </wp14:sizeRelV>
        </wp:anchor>
      </w:drawing>
    </w:r>
    <w:r w:rsidRPr="00002090">
      <w:rPr>
        <w:rFonts w:ascii="Helvetica" w:hAnsi="Helvetica"/>
        <w:b/>
        <w:noProof/>
        <w:sz w:val="16"/>
      </w:rPr>
      <mc:AlternateContent>
        <mc:Choice Requires="wps">
          <w:drawing>
            <wp:anchor distT="0" distB="0" distL="114300" distR="114300" simplePos="0" relativeHeight="251639808" behindDoc="0" locked="0" layoutInCell="1" allowOverlap="1" wp14:anchorId="157A4644" wp14:editId="6F6A0214">
              <wp:simplePos x="0" y="0"/>
              <wp:positionH relativeFrom="column">
                <wp:posOffset>2449195</wp:posOffset>
              </wp:positionH>
              <wp:positionV relativeFrom="paragraph">
                <wp:posOffset>110490</wp:posOffset>
              </wp:positionV>
              <wp:extent cx="745490" cy="320040"/>
              <wp:effectExtent l="0" t="0" r="0" b="0"/>
              <wp:wrapNone/>
              <wp:docPr id="9"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0DCD2" w14:textId="77777777" w:rsidR="00CA575E" w:rsidRPr="008668DA" w:rsidRDefault="00CA575E">
                          <w:pPr>
                            <w:ind w:left="360"/>
                            <w:rPr>
                              <w:rFonts w:ascii="Futura Lt BT" w:hAnsi="Futura Lt BT"/>
                              <w:sz w:val="16"/>
                            </w:rPr>
                          </w:pPr>
                          <w:r w:rsidRPr="008668DA">
                            <w:rPr>
                              <w:rFonts w:ascii="Futura Lt BT" w:hAnsi="Futura Lt BT"/>
                              <w:sz w:val="16"/>
                            </w:rPr>
                            <w:fldChar w:fldCharType="begin"/>
                          </w:r>
                          <w:r w:rsidRPr="008668DA">
                            <w:rPr>
                              <w:rFonts w:ascii="Futura Lt BT" w:hAnsi="Futura Lt BT"/>
                              <w:sz w:val="16"/>
                            </w:rPr>
                            <w:instrText xml:space="preserve"> PAGE   \* MERGEFORMAT </w:instrText>
                          </w:r>
                          <w:r w:rsidRPr="008668DA">
                            <w:rPr>
                              <w:rFonts w:ascii="Futura Lt BT" w:hAnsi="Futura Lt BT"/>
                              <w:sz w:val="16"/>
                            </w:rPr>
                            <w:fldChar w:fldCharType="separate"/>
                          </w:r>
                          <w:r w:rsidR="00471CBB">
                            <w:rPr>
                              <w:rFonts w:ascii="Futura Lt BT" w:hAnsi="Futura Lt BT"/>
                              <w:noProof/>
                              <w:sz w:val="16"/>
                            </w:rPr>
                            <w:t>1-1</w:t>
                          </w:r>
                          <w:r w:rsidRPr="008668DA">
                            <w:rPr>
                              <w:rFonts w:ascii="Futura Lt BT" w:hAnsi="Futura Lt BT"/>
                              <w:sz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7A4644" id="Text Box 94" o:spid="_x0000_s1036" type="#_x0000_t202" style="position:absolute;left:0;text-align:left;margin-left:192.85pt;margin-top:8.7pt;width:58.7pt;height:25.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" filled="f" stroked="f">
              <v:textbox>
                <w:txbxContent>
                  <w:p w14:paraId="5840DCD2" w14:textId="77777777" w:rsidR="00CA575E" w:rsidRPr="008668DA" w:rsidRDefault="00CA575E">
                    <w:pPr>
                      <w:ind w:left="360"/>
                      <w:rPr>
                        <w:rFonts w:ascii="Futura Lt BT" w:hAnsi="Futura Lt BT"/>
                        <w:sz w:val="16"/>
                      </w:rPr>
                    </w:pPr>
                    <w:r w:rsidRPr="008668DA">
                      <w:rPr>
                        <w:rFonts w:ascii="Futura Lt BT" w:hAnsi="Futura Lt BT"/>
                        <w:sz w:val="16"/>
                      </w:rPr>
                      <w:fldChar w:fldCharType="begin"/>
                    </w:r>
                    <w:r w:rsidRPr="008668DA">
                      <w:rPr>
                        <w:rFonts w:ascii="Futura Lt BT" w:hAnsi="Futura Lt BT"/>
                        <w:sz w:val="16"/>
                      </w:rPr>
                      <w:instrText xml:space="preserve"> PAGE   \* MERGEFORMAT </w:instrText>
                    </w:r>
                    <w:r w:rsidRPr="008668DA">
                      <w:rPr>
                        <w:rFonts w:ascii="Futura Lt BT" w:hAnsi="Futura Lt BT"/>
                        <w:sz w:val="16"/>
                      </w:rPr>
                      <w:fldChar w:fldCharType="separate"/>
                    </w:r>
                    <w:r w:rsidR="00471CBB">
                      <w:rPr>
                        <w:rFonts w:ascii="Futura Lt BT" w:hAnsi="Futura Lt BT"/>
                        <w:noProof/>
                        <w:sz w:val="16"/>
                      </w:rPr>
                      <w:t>1-1</w:t>
                    </w:r>
                    <w:r w:rsidRPr="008668DA">
                      <w:rPr>
                        <w:rFonts w:ascii="Futura Lt BT" w:hAnsi="Futura Lt BT"/>
                        <w:sz w:val="16"/>
                      </w:rPr>
                      <w:fldChar w:fldCharType="end"/>
                    </w:r>
                  </w:p>
                </w:txbxContent>
              </v:textbox>
            </v:shape>
          </w:pict>
        </mc:Fallback>
      </mc:AlternateContent>
    </w:r>
    <w:r w:rsidRPr="00002090">
      <w:rPr>
        <w:rFonts w:ascii="Helvetica" w:hAnsi="Helvetica"/>
        <w:b/>
        <w:noProof/>
        <w:sz w:val="16"/>
      </w:rPr>
      <w:drawing>
        <wp:anchor distT="182880" distB="0" distL="0" distR="0" simplePos="0" relativeHeight="251641856" behindDoc="1" locked="0" layoutInCell="1" allowOverlap="1" wp14:anchorId="36B1ABF3" wp14:editId="50DE9F8B">
          <wp:simplePos x="0" y="0"/>
          <wp:positionH relativeFrom="page">
            <wp:align>center</wp:align>
          </wp:positionH>
          <wp:positionV relativeFrom="paragraph">
            <wp:posOffset>-73025</wp:posOffset>
          </wp:positionV>
          <wp:extent cx="5596890" cy="48895"/>
          <wp:effectExtent l="0" t="0" r="3810" b="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6890" cy="48895"/>
                  </a:xfrm>
                  <a:prstGeom prst="rect">
                    <a:avLst/>
                  </a:prstGeom>
                  <a:noFill/>
                </pic:spPr>
              </pic:pic>
            </a:graphicData>
          </a:graphic>
          <wp14:sizeRelH relativeFrom="page">
            <wp14:pctWidth>0</wp14:pctWidth>
          </wp14:sizeRelH>
          <wp14:sizeRelV relativeFrom="page">
            <wp14:pctHeight>0</wp14:pctHeight>
          </wp14:sizeRelV>
        </wp:anchor>
      </w:drawing>
    </w:r>
    <w:r w:rsidRPr="00002090">
      <w:rPr>
        <w:rFonts w:ascii="Helvetica" w:hAnsi="Helvetica"/>
        <w:b/>
        <w:noProof/>
        <w:sz w:val="16"/>
      </w:rPr>
      <mc:AlternateContent>
        <mc:Choice Requires="wps">
          <w:drawing>
            <wp:anchor distT="0" distB="0" distL="114300" distR="114300" simplePos="0" relativeHeight="251640832" behindDoc="0" locked="0" layoutInCell="1" allowOverlap="1" wp14:anchorId="7DE44688" wp14:editId="079B6F17">
              <wp:simplePos x="0" y="0"/>
              <wp:positionH relativeFrom="column">
                <wp:posOffset>11430</wp:posOffset>
              </wp:positionH>
              <wp:positionV relativeFrom="paragraph">
                <wp:posOffset>43815</wp:posOffset>
              </wp:positionV>
              <wp:extent cx="1101090" cy="434340"/>
              <wp:effectExtent l="0" t="0" r="0" b="0"/>
              <wp:wrapNone/>
              <wp:docPr id="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090" cy="434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9700D" w14:textId="4C934DBF" w:rsidR="00CA575E" w:rsidRDefault="00CA575E" w:rsidP="006A3548">
                          <w:pPr>
                            <w:rPr>
                              <w:rStyle w:val="PageNumber"/>
                            </w:rPr>
                          </w:pPr>
                          <w:r>
                            <w:rPr>
                              <w:rStyle w:val="PageNumber"/>
                            </w:rPr>
                            <w:fldChar w:fldCharType="begin"/>
                          </w:r>
                          <w:r>
                            <w:rPr>
                              <w:rStyle w:val="PageNumber"/>
                            </w:rPr>
                            <w:instrText xml:space="preserve"> DATE  \@ "MMMM yyyy"  \* MERGEFORMAT </w:instrText>
                          </w:r>
                          <w:r>
                            <w:rPr>
                              <w:rStyle w:val="PageNumber"/>
                            </w:rPr>
                            <w:fldChar w:fldCharType="separate"/>
                          </w:r>
                          <w:r w:rsidR="002242DE">
                            <w:rPr>
                              <w:rStyle w:val="PageNumber"/>
                              <w:noProof/>
                            </w:rPr>
                            <w:t>January 2022</w:t>
                          </w:r>
                          <w:r>
                            <w:rPr>
                              <w:rStyle w:val="PageNumber"/>
                            </w:rPr>
                            <w:fldChar w:fldCharType="end"/>
                          </w:r>
                        </w:p>
                        <w:p w14:paraId="537C9822" w14:textId="77777777" w:rsidR="00CA575E" w:rsidRDefault="00CA575E" w:rsidP="00A852B9">
                          <w:pPr>
                            <w:rPr>
                              <w:rStyle w:val="PageNumber"/>
                            </w:rPr>
                          </w:pPr>
                          <w:r>
                            <w:rPr>
                              <w:rStyle w:val="PageNumber"/>
                            </w:rPr>
                            <w:t>034-011</w:t>
                          </w:r>
                        </w:p>
                        <w:p w14:paraId="6DE54264" w14:textId="77777777" w:rsidR="00CA575E" w:rsidRPr="000904F8" w:rsidRDefault="00CA575E" w:rsidP="00A852B9">
                          <w:pPr>
                            <w:rPr>
                              <w:rFonts w:ascii="Futura Lt BT" w:hAnsi="Futura Lt B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44688" id="Text Box 97" o:spid="_x0000_s1037" type="#_x0000_t202" style="position:absolute;left:0;text-align:left;margin-left:.9pt;margin-top:3.45pt;width:86.7pt;height:34.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" filled="f" stroked="f">
              <v:textbox>
                <w:txbxContent>
                  <w:p w14:paraId="61E9700D" w14:textId="4C934DBF" w:rsidR="00CA575E" w:rsidRDefault="00CA575E" w:rsidP="006A3548">
                    <w:pPr>
                      <w:rPr>
                        <w:rStyle w:val="PageNumber"/>
                      </w:rPr>
                    </w:pPr>
                    <w:r>
                      <w:rPr>
                        <w:rStyle w:val="PageNumber"/>
                      </w:rPr>
                      <w:fldChar w:fldCharType="begin"/>
                    </w:r>
                    <w:r>
                      <w:rPr>
                        <w:rStyle w:val="PageNumber"/>
                      </w:rPr>
                      <w:instrText xml:space="preserve"> DATE  \@ "MMMM yyyy"  \* MERGEFORMAT </w:instrText>
                    </w:r>
                    <w:r>
                      <w:rPr>
                        <w:rStyle w:val="PageNumber"/>
                      </w:rPr>
                      <w:fldChar w:fldCharType="separate"/>
                    </w:r>
                    <w:r w:rsidR="002242DE">
                      <w:rPr>
                        <w:rStyle w:val="PageNumber"/>
                        <w:noProof/>
                      </w:rPr>
                      <w:t>January 2022</w:t>
                    </w:r>
                    <w:r>
                      <w:rPr>
                        <w:rStyle w:val="PageNumber"/>
                      </w:rPr>
                      <w:fldChar w:fldCharType="end"/>
                    </w:r>
                  </w:p>
                  <w:p w14:paraId="537C9822" w14:textId="77777777" w:rsidR="00CA575E" w:rsidRDefault="00CA575E" w:rsidP="00A852B9">
                    <w:pPr>
                      <w:rPr>
                        <w:rStyle w:val="PageNumber"/>
                      </w:rPr>
                    </w:pPr>
                    <w:r>
                      <w:rPr>
                        <w:rStyle w:val="PageNumber"/>
                      </w:rPr>
                      <w:t>034-011</w:t>
                    </w:r>
                  </w:p>
                  <w:p w14:paraId="6DE54264" w14:textId="77777777" w:rsidR="00CA575E" w:rsidRPr="000904F8" w:rsidRDefault="00CA575E" w:rsidP="00A852B9">
                    <w:pPr>
                      <w:rPr>
                        <w:rFonts w:ascii="Futura Lt BT" w:hAnsi="Futura Lt BT"/>
                      </w:rPr>
                    </w:pPr>
                  </w:p>
                </w:txbxContent>
              </v:textbox>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A6266" w14:textId="77777777" w:rsidR="00CA575E" w:rsidRPr="00937DC9" w:rsidRDefault="00CA575E" w:rsidP="00937DC9">
    <w:pPr>
      <w:pStyle w:val="Footer"/>
      <w:pBdr>
        <w:top w:val="none" w:sz="0" w:space="0" w:color="auto"/>
      </w:pBdr>
      <w:spacing w:line="240" w:lineRule="auto"/>
      <w:jc w:val="center"/>
      <w:rPr>
        <w:rFonts w:ascii="Helvetica" w:hAnsi="Helvetica"/>
        <w:b/>
        <w:sz w:val="16"/>
      </w:rPr>
    </w:pPr>
    <w:r>
      <w:rPr>
        <w:rFonts w:ascii="Helvetica" w:hAnsi="Helvetica"/>
        <w:b/>
        <w:noProof/>
        <w:sz w:val="16"/>
      </w:rPr>
      <mc:AlternateContent>
        <mc:Choice Requires="wps">
          <w:drawing>
            <wp:anchor distT="0" distB="0" distL="114300" distR="114300" simplePos="0" relativeHeight="251643904" behindDoc="0" locked="0" layoutInCell="1" allowOverlap="1" wp14:anchorId="4622CF9F" wp14:editId="7BB23C45">
              <wp:simplePos x="0" y="0"/>
              <wp:positionH relativeFrom="column">
                <wp:posOffset>2449195</wp:posOffset>
              </wp:positionH>
              <wp:positionV relativeFrom="paragraph">
                <wp:posOffset>110490</wp:posOffset>
              </wp:positionV>
              <wp:extent cx="745490" cy="320040"/>
              <wp:effectExtent l="0" t="0" r="0" b="0"/>
              <wp:wrapNone/>
              <wp:docPr id="5"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4F751B" w14:textId="77777777" w:rsidR="00CA575E" w:rsidRPr="008668DA" w:rsidRDefault="00CA575E" w:rsidP="00937DC9">
                          <w:pPr>
                            <w:ind w:left="220"/>
                            <w:rPr>
                              <w:rFonts w:ascii="Futura Lt BT" w:hAnsi="Futura Lt BT"/>
                              <w:sz w:val="16"/>
                            </w:rPr>
                          </w:pPr>
                          <w:r w:rsidRPr="008668DA">
                            <w:rPr>
                              <w:rFonts w:ascii="Futura Lt BT" w:hAnsi="Futura Lt BT"/>
                              <w:sz w:val="16"/>
                            </w:rPr>
                            <w:fldChar w:fldCharType="begin"/>
                          </w:r>
                          <w:r w:rsidRPr="008668DA">
                            <w:rPr>
                              <w:rFonts w:ascii="Futura Lt BT" w:hAnsi="Futura Lt BT"/>
                              <w:sz w:val="16"/>
                            </w:rPr>
                            <w:instrText xml:space="preserve"> PAGE   \* MERGEFORMAT </w:instrText>
                          </w:r>
                          <w:r w:rsidRPr="008668DA">
                            <w:rPr>
                              <w:rFonts w:ascii="Futura Lt BT" w:hAnsi="Futura Lt BT"/>
                              <w:sz w:val="16"/>
                            </w:rPr>
                            <w:fldChar w:fldCharType="separate"/>
                          </w:r>
                          <w:r w:rsidR="00471CBB">
                            <w:rPr>
                              <w:rFonts w:ascii="Futura Lt BT" w:hAnsi="Futura Lt BT"/>
                              <w:noProof/>
                              <w:sz w:val="16"/>
                            </w:rPr>
                            <w:t>3-1</w:t>
                          </w:r>
                          <w:r w:rsidRPr="008668DA">
                            <w:rPr>
                              <w:rFonts w:ascii="Futura Lt BT" w:hAnsi="Futura Lt BT"/>
                              <w:sz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22CF9F" id="_x0000_t202" coordsize="21600,21600" o:spt="202" path="m,l,21600r21600,l21600,xe">
              <v:stroke joinstyle="miter"/>
              <v:path gradientshapeok="t" o:connecttype="rect"/>
            </v:shapetype>
            <v:shape id="Text Box 275" o:spid="_x0000_s1038" type="#_x0000_t202" style="position:absolute;left:0;text-align:left;margin-left:192.85pt;margin-top:8.7pt;width:58.7pt;height:25.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" filled="f" stroked="f">
              <v:textbox>
                <w:txbxContent>
                  <w:p w14:paraId="614F751B" w14:textId="77777777" w:rsidR="00CA575E" w:rsidRPr="008668DA" w:rsidRDefault="00CA575E" w:rsidP="00937DC9">
                    <w:pPr>
                      <w:ind w:left="220"/>
                      <w:rPr>
                        <w:rFonts w:ascii="Futura Lt BT" w:hAnsi="Futura Lt BT"/>
                        <w:sz w:val="16"/>
                      </w:rPr>
                    </w:pPr>
                    <w:r w:rsidRPr="008668DA">
                      <w:rPr>
                        <w:rFonts w:ascii="Futura Lt BT" w:hAnsi="Futura Lt BT"/>
                        <w:sz w:val="16"/>
                      </w:rPr>
                      <w:fldChar w:fldCharType="begin"/>
                    </w:r>
                    <w:r w:rsidRPr="008668DA">
                      <w:rPr>
                        <w:rFonts w:ascii="Futura Lt BT" w:hAnsi="Futura Lt BT"/>
                        <w:sz w:val="16"/>
                      </w:rPr>
                      <w:instrText xml:space="preserve"> PAGE   \* MERGEFORMAT </w:instrText>
                    </w:r>
                    <w:r w:rsidRPr="008668DA">
                      <w:rPr>
                        <w:rFonts w:ascii="Futura Lt BT" w:hAnsi="Futura Lt BT"/>
                        <w:sz w:val="16"/>
                      </w:rPr>
                      <w:fldChar w:fldCharType="separate"/>
                    </w:r>
                    <w:r w:rsidR="00471CBB">
                      <w:rPr>
                        <w:rFonts w:ascii="Futura Lt BT" w:hAnsi="Futura Lt BT"/>
                        <w:noProof/>
                        <w:sz w:val="16"/>
                      </w:rPr>
                      <w:t>3-1</w:t>
                    </w:r>
                    <w:r w:rsidRPr="008668DA">
                      <w:rPr>
                        <w:rFonts w:ascii="Futura Lt BT" w:hAnsi="Futura Lt BT"/>
                        <w:sz w:val="16"/>
                      </w:rPr>
                      <w:fldChar w:fldCharType="end"/>
                    </w:r>
                  </w:p>
                </w:txbxContent>
              </v:textbox>
            </v:shape>
          </w:pict>
        </mc:Fallback>
      </mc:AlternateContent>
    </w:r>
    <w:r>
      <w:rPr>
        <w:rFonts w:ascii="Helvetica" w:hAnsi="Helvetica"/>
        <w:b/>
        <w:noProof/>
        <w:sz w:val="16"/>
      </w:rPr>
      <w:drawing>
        <wp:anchor distT="182880" distB="0" distL="0" distR="0" simplePos="0" relativeHeight="251645952" behindDoc="1" locked="0" layoutInCell="1" allowOverlap="1" wp14:anchorId="1D8BAE49" wp14:editId="7FBF12B5">
          <wp:simplePos x="0" y="0"/>
          <wp:positionH relativeFrom="page">
            <wp:align>center</wp:align>
          </wp:positionH>
          <wp:positionV relativeFrom="paragraph">
            <wp:posOffset>-73025</wp:posOffset>
          </wp:positionV>
          <wp:extent cx="5596890" cy="48895"/>
          <wp:effectExtent l="0" t="0" r="3810" b="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6890" cy="48895"/>
                  </a:xfrm>
                  <a:prstGeom prst="rect">
                    <a:avLst/>
                  </a:prstGeom>
                  <a:noFill/>
                </pic:spPr>
              </pic:pic>
            </a:graphicData>
          </a:graphic>
          <wp14:sizeRelH relativeFrom="page">
            <wp14:pctWidth>0</wp14:pctWidth>
          </wp14:sizeRelH>
          <wp14:sizeRelV relativeFrom="page">
            <wp14:pctHeight>0</wp14:pctHeight>
          </wp14:sizeRelV>
        </wp:anchor>
      </w:drawing>
    </w:r>
    <w:r>
      <w:rPr>
        <w:rFonts w:ascii="Helvetica" w:hAnsi="Helvetica"/>
        <w:b/>
        <w:noProof/>
        <w:sz w:val="16"/>
      </w:rPr>
      <mc:AlternateContent>
        <mc:Choice Requires="wps">
          <w:drawing>
            <wp:anchor distT="0" distB="0" distL="114300" distR="114300" simplePos="0" relativeHeight="251644928" behindDoc="0" locked="0" layoutInCell="1" allowOverlap="1" wp14:anchorId="1A2DF106" wp14:editId="603D9C51">
              <wp:simplePos x="0" y="0"/>
              <wp:positionH relativeFrom="column">
                <wp:posOffset>11430</wp:posOffset>
              </wp:positionH>
              <wp:positionV relativeFrom="paragraph">
                <wp:posOffset>43815</wp:posOffset>
              </wp:positionV>
              <wp:extent cx="1101090" cy="434340"/>
              <wp:effectExtent l="0" t="0" r="0" b="0"/>
              <wp:wrapNone/>
              <wp:docPr id="20"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090" cy="434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B9DC7" w14:textId="2603346C" w:rsidR="00CA575E" w:rsidRDefault="00CA575E" w:rsidP="004A55CD">
                          <w:pPr>
                            <w:rPr>
                              <w:rStyle w:val="PageNumber"/>
                            </w:rPr>
                          </w:pPr>
                          <w:r>
                            <w:rPr>
                              <w:rStyle w:val="PageNumber"/>
                            </w:rPr>
                            <w:fldChar w:fldCharType="begin"/>
                          </w:r>
                          <w:r>
                            <w:rPr>
                              <w:rStyle w:val="PageNumber"/>
                            </w:rPr>
                            <w:instrText xml:space="preserve"> DATE  \@ "MMMM yyyy"  \* MERGEFORMAT </w:instrText>
                          </w:r>
                          <w:r>
                            <w:rPr>
                              <w:rStyle w:val="PageNumber"/>
                            </w:rPr>
                            <w:fldChar w:fldCharType="separate"/>
                          </w:r>
                          <w:r w:rsidR="002242DE">
                            <w:rPr>
                              <w:rStyle w:val="PageNumber"/>
                              <w:noProof/>
                            </w:rPr>
                            <w:t>January 2022</w:t>
                          </w:r>
                          <w:r>
                            <w:rPr>
                              <w:rStyle w:val="PageNumber"/>
                            </w:rPr>
                            <w:fldChar w:fldCharType="end"/>
                          </w:r>
                        </w:p>
                        <w:p w14:paraId="6020BB59" w14:textId="77777777" w:rsidR="00CA575E" w:rsidRDefault="00CA575E" w:rsidP="00D70024">
                          <w:pPr>
                            <w:rPr>
                              <w:rStyle w:val="PageNumber"/>
                            </w:rPr>
                          </w:pPr>
                          <w:r>
                            <w:rPr>
                              <w:rStyle w:val="PageNumber"/>
                            </w:rPr>
                            <w:t>034-011</w:t>
                          </w:r>
                        </w:p>
                        <w:p w14:paraId="62C0404A" w14:textId="77777777" w:rsidR="00CA575E" w:rsidRPr="000904F8" w:rsidRDefault="00CA575E" w:rsidP="00D70024">
                          <w:pPr>
                            <w:rPr>
                              <w:rFonts w:ascii="Futura Lt BT" w:hAnsi="Futura Lt BT"/>
                            </w:rPr>
                          </w:pPr>
                        </w:p>
                        <w:p w14:paraId="046F3380" w14:textId="77777777" w:rsidR="00CA575E" w:rsidRPr="000904F8" w:rsidRDefault="00CA575E" w:rsidP="00937DC9">
                          <w:pPr>
                            <w:rPr>
                              <w:rFonts w:ascii="Futura Lt BT" w:hAnsi="Futura Lt B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DF106" id="Text Box 277" o:spid="_x0000_s1039" type="#_x0000_t202" style="position:absolute;left:0;text-align:left;margin-left:.9pt;margin-top:3.45pt;width:86.7pt;height:34.2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" filled="f" stroked="f">
              <v:textbox>
                <w:txbxContent>
                  <w:p w14:paraId="4E3B9DC7" w14:textId="2603346C" w:rsidR="00CA575E" w:rsidRDefault="00CA575E" w:rsidP="004A55CD">
                    <w:pPr>
                      <w:rPr>
                        <w:rStyle w:val="PageNumber"/>
                      </w:rPr>
                    </w:pPr>
                    <w:r>
                      <w:rPr>
                        <w:rStyle w:val="PageNumber"/>
                      </w:rPr>
                      <w:fldChar w:fldCharType="begin"/>
                    </w:r>
                    <w:r>
                      <w:rPr>
                        <w:rStyle w:val="PageNumber"/>
                      </w:rPr>
                      <w:instrText xml:space="preserve"> DATE  \@ "MMMM yyyy"  \* MERGEFORMAT </w:instrText>
                    </w:r>
                    <w:r>
                      <w:rPr>
                        <w:rStyle w:val="PageNumber"/>
                      </w:rPr>
                      <w:fldChar w:fldCharType="separate"/>
                    </w:r>
                    <w:r w:rsidR="002242DE">
                      <w:rPr>
                        <w:rStyle w:val="PageNumber"/>
                        <w:noProof/>
                      </w:rPr>
                      <w:t>January 2022</w:t>
                    </w:r>
                    <w:r>
                      <w:rPr>
                        <w:rStyle w:val="PageNumber"/>
                      </w:rPr>
                      <w:fldChar w:fldCharType="end"/>
                    </w:r>
                  </w:p>
                  <w:p w14:paraId="6020BB59" w14:textId="77777777" w:rsidR="00CA575E" w:rsidRDefault="00CA575E" w:rsidP="00D70024">
                    <w:pPr>
                      <w:rPr>
                        <w:rStyle w:val="PageNumber"/>
                      </w:rPr>
                    </w:pPr>
                    <w:r>
                      <w:rPr>
                        <w:rStyle w:val="PageNumber"/>
                      </w:rPr>
                      <w:t>034-011</w:t>
                    </w:r>
                  </w:p>
                  <w:p w14:paraId="62C0404A" w14:textId="77777777" w:rsidR="00CA575E" w:rsidRPr="000904F8" w:rsidRDefault="00CA575E" w:rsidP="00D70024">
                    <w:pPr>
                      <w:rPr>
                        <w:rFonts w:ascii="Futura Lt BT" w:hAnsi="Futura Lt BT"/>
                      </w:rPr>
                    </w:pPr>
                  </w:p>
                  <w:p w14:paraId="046F3380" w14:textId="77777777" w:rsidR="00CA575E" w:rsidRPr="000904F8" w:rsidRDefault="00CA575E" w:rsidP="00937DC9">
                    <w:pPr>
                      <w:rPr>
                        <w:rFonts w:ascii="Futura Lt BT" w:hAnsi="Futura Lt BT"/>
                      </w:rPr>
                    </w:pPr>
                  </w:p>
                </w:txbxContent>
              </v:textbox>
            </v:shape>
          </w:pict>
        </mc:Fallback>
      </mc:AlternateContent>
    </w:r>
    <w:r w:rsidRPr="009B2191">
      <w:rPr>
        <w:rFonts w:ascii="Helvetica" w:hAnsi="Helvetica"/>
        <w:b/>
        <w:noProof/>
        <w:sz w:val="16"/>
      </w:rPr>
      <w:drawing>
        <wp:anchor distT="0" distB="0" distL="114300" distR="114300" simplePos="0" relativeHeight="251646976" behindDoc="1" locked="0" layoutInCell="1" allowOverlap="1" wp14:anchorId="404C78D8" wp14:editId="36A2C54A">
          <wp:simplePos x="0" y="0"/>
          <wp:positionH relativeFrom="column">
            <wp:posOffset>5203190</wp:posOffset>
          </wp:positionH>
          <wp:positionV relativeFrom="paragraph">
            <wp:posOffset>82550</wp:posOffset>
          </wp:positionV>
          <wp:extent cx="310896" cy="310896"/>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I_globe_rgb.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10896" cy="310896"/>
                  </a:xfrm>
                  <a:prstGeom prst="rect">
                    <a:avLst/>
                  </a:prstGeom>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31529" w14:textId="5316999A" w:rsidR="00CA575E" w:rsidRPr="00D24972" w:rsidRDefault="00CA575E" w:rsidP="00C26F4B">
    <w:pPr>
      <w:pStyle w:val="Footer"/>
      <w:pBdr>
        <w:top w:val="none" w:sz="0" w:space="0" w:color="auto"/>
      </w:pBdr>
      <w:tabs>
        <w:tab w:val="left" w:pos="4150"/>
        <w:tab w:val="center" w:pos="4392"/>
      </w:tabs>
      <w:spacing w:line="240" w:lineRule="auto"/>
      <w:jc w:val="left"/>
      <w:rPr>
        <w:rFonts w:ascii="Helvetica" w:hAnsi="Helvetica"/>
        <w:b/>
        <w:sz w:val="16"/>
      </w:rPr>
    </w:pPr>
    <w:r>
      <w:rPr>
        <w:rFonts w:ascii="Helvetica" w:hAnsi="Helvetica"/>
        <w:b/>
        <w:sz w:val="16"/>
      </w:rPr>
      <w:tab/>
    </w:r>
    <w:r>
      <w:rPr>
        <w:rFonts w:ascii="Helvetica" w:hAnsi="Helvetica"/>
        <w:b/>
        <w:sz w:val="16"/>
      </w:rPr>
      <w:tab/>
    </w:r>
    <w:r>
      <w:rPr>
        <w:rFonts w:ascii="Helvetica" w:hAnsi="Helvetica"/>
        <w:b/>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6B83F" w14:textId="77777777" w:rsidR="00CA575E" w:rsidRDefault="00CA575E">
      <w:r>
        <w:separator/>
      </w:r>
    </w:p>
  </w:footnote>
  <w:footnote w:type="continuationSeparator" w:id="0">
    <w:p w14:paraId="0B5E7F4B" w14:textId="77777777" w:rsidR="00CA575E" w:rsidRDefault="00CA575E">
      <w:r>
        <w:continuationSeparator/>
      </w:r>
    </w:p>
  </w:footnote>
  <w:footnote w:type="continuationNotice" w:id="1">
    <w:p w14:paraId="705BA9CD" w14:textId="77777777" w:rsidR="00CA575E" w:rsidRDefault="00CA575E">
      <w:pPr>
        <w:spacing w:line="240" w:lineRule="auto"/>
      </w:pPr>
    </w:p>
  </w:footnote>
  <w:footnote w:id="2">
    <w:p w14:paraId="28F9BE10" w14:textId="78B6F0AE" w:rsidR="00CA575E" w:rsidRDefault="00CA575E" w:rsidP="003E6AEF">
      <w:pPr>
        <w:pStyle w:val="FootnoteText"/>
        <w:spacing w:line="240" w:lineRule="auto"/>
        <w:jc w:val="left"/>
      </w:pPr>
      <w:r>
        <w:rPr>
          <w:rStyle w:val="FootnoteReference"/>
        </w:rPr>
        <w:footnoteRef/>
      </w:r>
      <w:r>
        <w:t xml:space="preserve"> The Bedford Basin and adjacent basin boundaries are based on the currently defined “Management Zone” boundaries as described the Santa Ana Regional Water Quality Control Board Resolution R8-2004-0001 and as shown in the Basin Plan: </w:t>
      </w:r>
      <w:hyperlink r:id="rId1" w:history="1">
        <w:r w:rsidRPr="002D67C6">
          <w:rPr>
            <w:rStyle w:val="Hyperlink"/>
          </w:rPr>
          <w:t>http://www.waterboards.ca.gov/santaana/water_issues/programs/basin_plan/index.shtml</w:t>
        </w:r>
      </w:hyperlink>
      <w:r w:rsidRPr="002D67C6">
        <w:t>.</w:t>
      </w:r>
      <w:r>
        <w:t xml:space="preserve"> </w:t>
      </w:r>
    </w:p>
  </w:footnote>
  <w:footnote w:id="3">
    <w:p w14:paraId="190CDECE" w14:textId="77777777" w:rsidR="00CA575E" w:rsidRDefault="00CA575E" w:rsidP="00A00972">
      <w:pPr>
        <w:pStyle w:val="FootnoteText"/>
        <w:jc w:val="left"/>
      </w:pPr>
      <w:r>
        <w:rPr>
          <w:rStyle w:val="FootnoteReference"/>
        </w:rPr>
        <w:footnoteRef/>
      </w:r>
      <w:r>
        <w:t xml:space="preserve"> Project status meeting held on February 19, 2015 at the City of Corona.</w:t>
      </w:r>
    </w:p>
  </w:footnote>
  <w:footnote w:id="4">
    <w:p w14:paraId="55B28984" w14:textId="77777777" w:rsidR="00CA575E" w:rsidRDefault="00CA575E">
      <w:pPr>
        <w:pStyle w:val="FootnoteText"/>
      </w:pPr>
      <w:r>
        <w:rPr>
          <w:rStyle w:val="FootnoteReference"/>
        </w:rPr>
        <w:footnoteRef/>
      </w:r>
      <w:r>
        <w:t xml:space="preserve"> The precipitation record shows that this dry period has continued through June 30, 2015.</w:t>
      </w:r>
    </w:p>
  </w:footnote>
  <w:footnote w:id="5">
    <w:p w14:paraId="3C0B52F1" w14:textId="77777777" w:rsidR="00CA575E" w:rsidRDefault="00CA575E" w:rsidP="0035127C">
      <w:pPr>
        <w:pStyle w:val="FootnoteText"/>
        <w:jc w:val="left"/>
      </w:pPr>
      <w:r>
        <w:rPr>
          <w:rStyle w:val="FootnoteReference"/>
        </w:rPr>
        <w:footnoteRef/>
      </w:r>
      <w:r>
        <w:t xml:space="preserve"> EVMWD staff, personal communication, March 11, 2014.</w:t>
      </w:r>
    </w:p>
  </w:footnote>
  <w:footnote w:id="6">
    <w:p w14:paraId="380B1CB4" w14:textId="77777777" w:rsidR="00CA575E" w:rsidRDefault="00CA575E" w:rsidP="00EC5FAE">
      <w:pPr>
        <w:pStyle w:val="FootnoteText"/>
        <w:spacing w:line="240" w:lineRule="auto"/>
        <w:jc w:val="left"/>
      </w:pPr>
      <w:r>
        <w:rPr>
          <w:rStyle w:val="FootnoteReference"/>
        </w:rPr>
        <w:footnoteRef/>
      </w:r>
      <w:r>
        <w:t xml:space="preserve"> The lower quartile represents the 25</w:t>
      </w:r>
      <w:r w:rsidRPr="0075246E">
        <w:rPr>
          <w:vertAlign w:val="superscript"/>
        </w:rPr>
        <w:t>th</w:t>
      </w:r>
      <w:r>
        <w:t xml:space="preserve"> percentile (i.e. 25 percent of the observed values are less than the lower quartile).</w:t>
      </w:r>
    </w:p>
  </w:footnote>
  <w:footnote w:id="7">
    <w:p w14:paraId="1D590813" w14:textId="77777777" w:rsidR="00CA575E" w:rsidRDefault="00CA575E" w:rsidP="00EC5FAE">
      <w:pPr>
        <w:pStyle w:val="FootnoteText"/>
        <w:spacing w:line="240" w:lineRule="auto"/>
        <w:jc w:val="left"/>
      </w:pPr>
      <w:r>
        <w:rPr>
          <w:rStyle w:val="FootnoteReference"/>
        </w:rPr>
        <w:footnoteRef/>
      </w:r>
      <w:r>
        <w:t xml:space="preserve"> The upper quartile represents the 75</w:t>
      </w:r>
      <w:r w:rsidRPr="00DB1489">
        <w:rPr>
          <w:vertAlign w:val="superscript"/>
        </w:rPr>
        <w:t>th</w:t>
      </w:r>
      <w:r>
        <w:t xml:space="preserve"> percentile (i.e. 25 percent of the observed values are greater than the upper quartile.</w:t>
      </w:r>
    </w:p>
  </w:footnote>
  <w:footnote w:id="8">
    <w:p w14:paraId="1E938D51" w14:textId="77777777" w:rsidR="00CA575E" w:rsidRDefault="00CA575E" w:rsidP="00C8560B">
      <w:pPr>
        <w:pStyle w:val="FootnoteText"/>
        <w:jc w:val="left"/>
      </w:pPr>
      <w:r>
        <w:rPr>
          <w:rStyle w:val="FootnoteReference"/>
        </w:rPr>
        <w:footnoteRef/>
      </w:r>
      <w:r>
        <w:t xml:space="preserve"> Approximately 66 to 2.6 million years ago. </w:t>
      </w:r>
    </w:p>
  </w:footnote>
  <w:footnote w:id="9">
    <w:p w14:paraId="1DA12EB3" w14:textId="77777777" w:rsidR="00CA575E" w:rsidRDefault="00CA575E" w:rsidP="00C8560B">
      <w:pPr>
        <w:pStyle w:val="FootnoteText"/>
        <w:jc w:val="left"/>
      </w:pPr>
      <w:r>
        <w:rPr>
          <w:rStyle w:val="FootnoteReference"/>
        </w:rPr>
        <w:footnoteRef/>
      </w:r>
      <w:r>
        <w:t xml:space="preserve"> Approximately 145 to 66 million years ago.</w:t>
      </w:r>
    </w:p>
  </w:footnote>
  <w:footnote w:id="10">
    <w:p w14:paraId="4B894D70" w14:textId="77777777" w:rsidR="00CA575E" w:rsidRDefault="00CA575E" w:rsidP="00C8560B">
      <w:pPr>
        <w:pStyle w:val="FootnoteText"/>
        <w:jc w:val="left"/>
      </w:pPr>
      <w:r>
        <w:rPr>
          <w:rStyle w:val="FootnoteReference"/>
        </w:rPr>
        <w:footnoteRef/>
      </w:r>
      <w:r>
        <w:t xml:space="preserve"> Older than approximately 145 million years.</w:t>
      </w:r>
    </w:p>
  </w:footnote>
  <w:footnote w:id="11">
    <w:p w14:paraId="6D6C954E" w14:textId="77777777" w:rsidR="00CA575E" w:rsidRDefault="00CA575E" w:rsidP="00C8560B">
      <w:pPr>
        <w:pStyle w:val="FootnoteText"/>
        <w:jc w:val="left"/>
      </w:pPr>
      <w:r>
        <w:rPr>
          <w:rStyle w:val="FootnoteReference"/>
        </w:rPr>
        <w:footnoteRef/>
      </w:r>
      <w:r>
        <w:t xml:space="preserve"> Approximately 2 million to 12,000 years ago.</w:t>
      </w:r>
    </w:p>
  </w:footnote>
  <w:footnote w:id="12">
    <w:p w14:paraId="633ECFE6" w14:textId="511F03D1" w:rsidR="00CA575E" w:rsidRDefault="00CA575E" w:rsidP="008C6A50">
      <w:pPr>
        <w:pStyle w:val="FootnoteText"/>
        <w:spacing w:line="240" w:lineRule="auto"/>
        <w:jc w:val="left"/>
      </w:pPr>
      <w:r>
        <w:rPr>
          <w:rStyle w:val="FootnoteReference"/>
        </w:rPr>
        <w:footnoteRef/>
      </w:r>
      <w:r>
        <w:t xml:space="preserve"> </w:t>
      </w:r>
      <w:r w:rsidRPr="00AF6C5F">
        <w:t>HydroDaVE</w:t>
      </w:r>
      <w:r w:rsidRPr="00AF6C5F">
        <w:rPr>
          <w:rFonts w:ascii="MS Mincho" w:eastAsia="MS Mincho" w:hAnsi="MS Mincho" w:cs="MS Mincho" w:hint="eastAsia"/>
        </w:rPr>
        <w:t>℠</w:t>
      </w:r>
      <w:r w:rsidRPr="00AF6C5F">
        <w:t xml:space="preserve"> is a software system with a centralized database and graphical user interface that allows </w:t>
      </w:r>
      <w:r>
        <w:t xml:space="preserve">the </w:t>
      </w:r>
      <w:r w:rsidRPr="00AF6C5F">
        <w:t>visualization of data through a variety of sophisticated data-analysis tools.</w:t>
      </w:r>
    </w:p>
  </w:footnote>
  <w:footnote w:id="13">
    <w:p w14:paraId="79A8C672" w14:textId="06AC3F79" w:rsidR="00CA575E" w:rsidRDefault="00CA575E" w:rsidP="00C8560B">
      <w:pPr>
        <w:pStyle w:val="FootnoteText"/>
        <w:jc w:val="left"/>
      </w:pPr>
      <w:r>
        <w:rPr>
          <w:rStyle w:val="FootnoteReference"/>
        </w:rPr>
        <w:footnoteRef/>
      </w:r>
      <w:r>
        <w:t xml:space="preserve"> As part of this investigation, the LLWD provided no new groundwater production data.</w:t>
      </w:r>
    </w:p>
  </w:footnote>
  <w:footnote w:id="14">
    <w:p w14:paraId="251F26C6" w14:textId="7C3F1623" w:rsidR="00CA575E" w:rsidRDefault="00CA575E">
      <w:pPr>
        <w:pStyle w:val="FootnoteText"/>
      </w:pPr>
      <w:r>
        <w:rPr>
          <w:rStyle w:val="FootnoteReference"/>
        </w:rPr>
        <w:footnoteRef/>
      </w:r>
      <w:r>
        <w:t xml:space="preserve"> Recycled water discharge to the Temescal Wash began in 1987 from the EVMWD.</w:t>
      </w:r>
    </w:p>
  </w:footnote>
  <w:footnote w:id="15">
    <w:p w14:paraId="4D160F0C" w14:textId="5F16F868" w:rsidR="00CA575E" w:rsidRDefault="00CA575E" w:rsidP="00ED2199">
      <w:pPr>
        <w:pStyle w:val="FootnoteText"/>
        <w:spacing w:line="240" w:lineRule="auto"/>
        <w:jc w:val="left"/>
      </w:pPr>
      <w:r>
        <w:rPr>
          <w:rStyle w:val="FootnoteReference"/>
        </w:rPr>
        <w:footnoteRef/>
      </w:r>
      <w:r>
        <w:t xml:space="preserve"> Previously collected water quality data from the LLWD is limited to monitoring wells MW 1B, MW 2, and MW 3 for 2013. As part of this investigation, the LLWD provided no new water quality data.</w:t>
      </w:r>
    </w:p>
  </w:footnote>
  <w:footnote w:id="16">
    <w:p w14:paraId="58AC43F3" w14:textId="531A4770" w:rsidR="00CA575E" w:rsidRPr="00FE3806" w:rsidRDefault="00CA575E" w:rsidP="00FE3806">
      <w:pPr>
        <w:autoSpaceDE w:val="0"/>
        <w:autoSpaceDN w:val="0"/>
        <w:adjustRightInd w:val="0"/>
        <w:spacing w:line="240" w:lineRule="auto"/>
        <w:jc w:val="left"/>
        <w:rPr>
          <w:rFonts w:ascii="Times Roman" w:hAnsi="Times Roman" w:cs="Calibri"/>
          <w:color w:val="000000"/>
          <w:sz w:val="20"/>
        </w:rPr>
      </w:pPr>
      <w:r w:rsidRPr="003977D0">
        <w:rPr>
          <w:rStyle w:val="FootnoteReference"/>
          <w:rFonts w:asciiTheme="minorHAnsi" w:hAnsiTheme="minorHAnsi"/>
        </w:rPr>
        <w:footnoteRef/>
      </w:r>
      <w:r w:rsidRPr="003977D0">
        <w:rPr>
          <w:rFonts w:asciiTheme="minorHAnsi" w:hAnsiTheme="minorHAnsi"/>
        </w:rPr>
        <w:t xml:space="preserve"> </w:t>
      </w:r>
      <w:r w:rsidRPr="00FE3806">
        <w:rPr>
          <w:rFonts w:ascii="Times Roman" w:hAnsi="Times Roman" w:cs="Calibri"/>
          <w:color w:val="000000"/>
          <w:sz w:val="20"/>
        </w:rPr>
        <w:t>The SGMA is composed of three separate bills: Senate Bill 1168 (Pavley), Senate Bill 1319 (Pavley), and Assembly</w:t>
      </w:r>
      <w:r>
        <w:rPr>
          <w:rFonts w:ascii="Times Roman" w:hAnsi="Times Roman" w:cs="Calibri"/>
          <w:color w:val="000000"/>
          <w:sz w:val="20"/>
        </w:rPr>
        <w:t xml:space="preserve"> </w:t>
      </w:r>
      <w:r w:rsidRPr="00FE3806">
        <w:rPr>
          <w:rFonts w:ascii="Times Roman" w:hAnsi="Times Roman" w:cs="Calibri"/>
          <w:color w:val="000000"/>
          <w:sz w:val="20"/>
        </w:rPr>
        <w:t>Bill 1739 (Dickinson). Together, these three bills establish the Sustainable Groundwater Management Act.</w:t>
      </w:r>
    </w:p>
  </w:footnote>
  <w:footnote w:id="17">
    <w:p w14:paraId="7C2BADB0" w14:textId="77777777" w:rsidR="00CA575E" w:rsidRPr="003977D0" w:rsidRDefault="00CA575E" w:rsidP="00931AB0">
      <w:pPr>
        <w:pStyle w:val="FootnoteText"/>
        <w:spacing w:line="240" w:lineRule="auto"/>
        <w:jc w:val="left"/>
        <w:rPr>
          <w:rFonts w:asciiTheme="minorHAnsi" w:hAnsiTheme="minorHAnsi"/>
        </w:rPr>
      </w:pPr>
      <w:r w:rsidRPr="00FE3806">
        <w:rPr>
          <w:rStyle w:val="FootnoteReference"/>
          <w:rFonts w:ascii="Times Roman" w:hAnsi="Times Roman"/>
        </w:rPr>
        <w:footnoteRef/>
      </w:r>
      <w:r w:rsidRPr="00FE3806">
        <w:rPr>
          <w:rFonts w:ascii="Times Roman" w:hAnsi="Times Roman"/>
        </w:rPr>
        <w:t xml:space="preserve"> </w:t>
      </w:r>
      <w:hyperlink r:id="rId2" w:history="1">
        <w:r w:rsidRPr="00FE3806">
          <w:rPr>
            <w:rStyle w:val="Hyperlink"/>
            <w:rFonts w:ascii="Times Roman" w:hAnsi="Times Roman"/>
          </w:rPr>
          <w:t>http://water.bhfs.com/sgmadesktopreference/</w:t>
        </w:r>
      </w:hyperlink>
      <w:r>
        <w:rPr>
          <w:rFonts w:asciiTheme="minorHAnsi" w:hAnsiTheme="minorHAn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646205"/>
      <w:docPartObj>
        <w:docPartGallery w:val="Watermarks"/>
        <w:docPartUnique/>
      </w:docPartObj>
    </w:sdtPr>
    <w:sdtEndPr/>
    <w:sdtContent>
      <w:p w14:paraId="6E947D7F" w14:textId="741BA3C6" w:rsidR="00CA575E" w:rsidRPr="00D8241E" w:rsidRDefault="00467AC6" w:rsidP="00D8241E">
        <w:pPr>
          <w:pStyle w:val="Header"/>
          <w:pBdr>
            <w:bottom w:val="none" w:sz="0" w:space="0" w:color="auto"/>
          </w:pBdr>
        </w:pPr>
        <w:r>
          <w:rPr>
            <w:noProof/>
            <w:lang w:eastAsia="zh-TW"/>
          </w:rPr>
          <w:pict w14:anchorId="233C9E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4433" type="#_x0000_t136" style="position:absolute;margin-left:0;margin-top:0;width:412.4pt;height:247.45pt;rotation:315;z-index:-25166438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D1B7D" w14:textId="52430254" w:rsidR="00CA575E" w:rsidRDefault="00CA575E" w:rsidP="00D24972">
    <w:pPr>
      <w:pStyle w:val="TOCheader"/>
    </w:pPr>
    <w:r>
      <w:rPr>
        <w:noProof/>
      </w:rPr>
      <w:drawing>
        <wp:anchor distT="0" distB="0" distL="114300" distR="114300" simplePos="0" relativeHeight="251649024" behindDoc="1" locked="0" layoutInCell="1" allowOverlap="1" wp14:anchorId="5B4801E4" wp14:editId="48327B9F">
          <wp:simplePos x="0" y="0"/>
          <wp:positionH relativeFrom="page">
            <wp:align>center</wp:align>
          </wp:positionH>
          <wp:positionV relativeFrom="paragraph">
            <wp:posOffset>292735</wp:posOffset>
          </wp:positionV>
          <wp:extent cx="5934456" cy="44477"/>
          <wp:effectExtent l="0" t="0" r="0" b="0"/>
          <wp:wrapNone/>
          <wp:docPr id="4" name="Picture 4" descr="blue bar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blue bar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456" cy="44477"/>
                  </a:xfrm>
                  <a:prstGeom prst="rect">
                    <a:avLst/>
                  </a:prstGeom>
                  <a:noFill/>
                </pic:spPr>
              </pic:pic>
            </a:graphicData>
          </a:graphic>
          <wp14:sizeRelH relativeFrom="page">
            <wp14:pctWidth>0</wp14:pctWidth>
          </wp14:sizeRelH>
          <wp14:sizeRelV relativeFrom="page">
            <wp14:pctHeight>0</wp14:pctHeight>
          </wp14:sizeRelV>
        </wp:anchor>
      </w:drawing>
    </w:r>
    <w:r>
      <w:tab/>
    </w:r>
    <w:r>
      <w:tab/>
      <w:t>Table of Contents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CE7CE" w14:textId="77777777" w:rsidR="00CA575E" w:rsidRPr="002E2C47" w:rsidRDefault="00CA575E" w:rsidP="001739BF">
    <w:pPr>
      <w:pStyle w:val="TOCheader2"/>
      <w:spacing w:after="0"/>
      <w:jc w:val="left"/>
      <w:rPr>
        <w:rFonts w:cs="Calibri"/>
        <w:bCs/>
        <w:i/>
        <w:color w:val="000080"/>
        <w:szCs w:val="24"/>
      </w:rPr>
    </w:pPr>
    <w:r>
      <w:rPr>
        <w:rFonts w:cs="Calibri"/>
        <w:bCs/>
        <w:i/>
        <w:color w:val="000080"/>
        <w:szCs w:val="24"/>
      </w:rPr>
      <w:t>Feasibility Investigation</w:t>
    </w:r>
  </w:p>
  <w:p w14:paraId="6395B595" w14:textId="77777777" w:rsidR="00CA575E" w:rsidRPr="0035127C" w:rsidRDefault="00CA575E" w:rsidP="001739BF">
    <w:pPr>
      <w:pStyle w:val="Header"/>
    </w:pPr>
    <w:r>
      <w:rPr>
        <w:rFonts w:cs="Calibri"/>
        <w:bCs/>
        <w:i/>
        <w:color w:val="000080"/>
        <w:szCs w:val="24"/>
      </w:rPr>
      <w:t>for the Bedford Basin (Phase 1)</w:t>
    </w:r>
    <w:r w:rsidRPr="0000315B">
      <w:rPr>
        <w:color w:val="000080"/>
      </w:rPr>
      <w:tab/>
      <w:t>Table of Contents</w:t>
    </w:r>
    <w:r w:rsidRPr="0000315B">
      <w:rPr>
        <w:color w:val="000080"/>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29C19" w14:textId="537BA66E" w:rsidR="00CA575E" w:rsidRDefault="00467AC6">
    <w:pPr>
      <w:pStyle w:val="Header"/>
    </w:pPr>
    <w:r>
      <w:rPr>
        <w:noProof/>
      </w:rPr>
      <mc:AlternateContent>
        <mc:Choice Requires="wps">
          <w:drawing>
            <wp:anchor distT="0" distB="0" distL="114300" distR="114300" simplePos="0" relativeHeight="251657216" behindDoc="0" locked="0" layoutInCell="1" allowOverlap="1" wp14:anchorId="2F4157D3" wp14:editId="1B6381EA">
              <wp:simplePos x="0" y="0"/>
              <wp:positionH relativeFrom="column">
                <wp:posOffset>0</wp:posOffset>
              </wp:positionH>
              <wp:positionV relativeFrom="paragraph">
                <wp:posOffset>0</wp:posOffset>
              </wp:positionV>
              <wp:extent cx="1495425" cy="523875"/>
              <wp:effectExtent l="0" t="0" r="0" b="0"/>
              <wp:wrapNone/>
              <wp:docPr id="49" name="WordArt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95425" cy="523875"/>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C6E363" id="_x0000_t202" coordsize="21600,21600" o:spt="202" path="m,l,21600r21600,l21600,xe">
              <v:stroke joinstyle="miter"/>
              <v:path gradientshapeok="t" o:connecttype="rect"/>
            </v:shapetype>
            <v:shape id="WordArt 80" o:spid="_x0000_s1026" type="#_x0000_t202" style="position:absolute;margin-left:0;margin-top:0;width:117.75pt;height:4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" filled="f" stroked="f">
              <o:lock v:ext="edit" text="t" shapetype="t"/>
            </v:shape>
          </w:pict>
        </mc:Fallback>
      </mc:AlternateContent>
    </w:r>
    <w:r>
      <w:rPr>
        <w:noProof/>
      </w:rPr>
      <mc:AlternateContent>
        <mc:Choice Requires="wps">
          <w:drawing>
            <wp:anchor distT="0" distB="0" distL="114300" distR="114300" simplePos="0" relativeHeight="251658240" behindDoc="0" locked="0" layoutInCell="1" allowOverlap="1" wp14:anchorId="11448C08" wp14:editId="36AC657B">
              <wp:simplePos x="0" y="0"/>
              <wp:positionH relativeFrom="column">
                <wp:posOffset>0</wp:posOffset>
              </wp:positionH>
              <wp:positionV relativeFrom="paragraph">
                <wp:posOffset>0</wp:posOffset>
              </wp:positionV>
              <wp:extent cx="5617210" cy="2246630"/>
              <wp:effectExtent l="0" t="0" r="2540" b="1270"/>
              <wp:wrapNone/>
              <wp:docPr id="48" name="WordArt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9B30358" id="WordArt 56" o:spid="_x0000_s1026" type="#_x0000_t202" style="position:absolute;margin-left:0;margin-top:0;width:442.3pt;height:17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59264" behindDoc="0" locked="0" layoutInCell="1" allowOverlap="1" wp14:anchorId="2A3730DE" wp14:editId="33976BB4">
              <wp:simplePos x="0" y="0"/>
              <wp:positionH relativeFrom="column">
                <wp:posOffset>0</wp:posOffset>
              </wp:positionH>
              <wp:positionV relativeFrom="paragraph">
                <wp:posOffset>0</wp:posOffset>
              </wp:positionV>
              <wp:extent cx="5617210" cy="2246630"/>
              <wp:effectExtent l="0" t="0" r="2540" b="1270"/>
              <wp:wrapNone/>
              <wp:docPr id="47" name="WordArt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9AFE7B5" id="WordArt 32" o:spid="_x0000_s1026" type="#_x0000_t202" style="position:absolute;margin-left:0;margin-top:0;width:442.3pt;height:17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60288" behindDoc="0" locked="0" layoutInCell="1" allowOverlap="1" wp14:anchorId="69296F48" wp14:editId="2A81122F">
              <wp:simplePos x="0" y="0"/>
              <wp:positionH relativeFrom="column">
                <wp:posOffset>0</wp:posOffset>
              </wp:positionH>
              <wp:positionV relativeFrom="paragraph">
                <wp:posOffset>0</wp:posOffset>
              </wp:positionV>
              <wp:extent cx="5617210" cy="2246630"/>
              <wp:effectExtent l="0" t="0" r="2540" b="1270"/>
              <wp:wrapNone/>
              <wp:docPr id="40" name="WordAr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B7F96C3" id="WordArt 8" o:spid="_x0000_s1026" type="#_x0000_t202" style="position:absolute;margin-left:0;margin-top:0;width:442.3pt;height:17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91434" w14:textId="03B53F09" w:rsidR="00CA575E" w:rsidRDefault="00467AC6" w:rsidP="004A55CD">
    <w:pPr>
      <w:pStyle w:val="Header"/>
      <w:pBdr>
        <w:bottom w:val="single" w:sz="6" w:space="1" w:color="000080"/>
      </w:pBdr>
      <w:tabs>
        <w:tab w:val="clear" w:pos="8827"/>
        <w:tab w:val="right" w:pos="8820"/>
      </w:tabs>
      <w:spacing w:after="0"/>
      <w:jc w:val="both"/>
      <w:rPr>
        <w:rFonts w:cs="Calibri"/>
        <w:bCs/>
        <w:i/>
        <w:color w:val="000080"/>
        <w:szCs w:val="24"/>
      </w:rPr>
    </w:pPr>
    <w:r>
      <w:rPr>
        <w:noProof/>
      </w:rPr>
      <mc:AlternateContent>
        <mc:Choice Requires="wps">
          <w:drawing>
            <wp:anchor distT="0" distB="0" distL="114300" distR="114300" simplePos="0" relativeHeight="251661312" behindDoc="0" locked="0" layoutInCell="1" allowOverlap="1" wp14:anchorId="68857D7B" wp14:editId="3F1AD6F5">
              <wp:simplePos x="0" y="0"/>
              <wp:positionH relativeFrom="column">
                <wp:posOffset>0</wp:posOffset>
              </wp:positionH>
              <wp:positionV relativeFrom="paragraph">
                <wp:posOffset>0</wp:posOffset>
              </wp:positionV>
              <wp:extent cx="1495425" cy="523875"/>
              <wp:effectExtent l="0" t="0" r="0" b="0"/>
              <wp:wrapNone/>
              <wp:docPr id="39" name="WordArt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95425" cy="523875"/>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921D16D" id="_x0000_t202" coordsize="21600,21600" o:spt="202" path="m,l,21600r21600,l21600,xe">
              <v:stroke joinstyle="miter"/>
              <v:path gradientshapeok="t" o:connecttype="rect"/>
            </v:shapetype>
            <v:shape id="WordArt 81" o:spid="_x0000_s1026" type="#_x0000_t202" style="position:absolute;margin-left:0;margin-top:0;width:117.75pt;height:4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" filled="f" stroked="f">
              <o:lock v:ext="edit" text="t" shapetype="t"/>
            </v:shape>
          </w:pict>
        </mc:Fallback>
      </mc:AlternateContent>
    </w:r>
    <w:r>
      <w:rPr>
        <w:noProof/>
      </w:rPr>
      <mc:AlternateContent>
        <mc:Choice Requires="wps">
          <w:drawing>
            <wp:anchor distT="0" distB="0" distL="114300" distR="114300" simplePos="0" relativeHeight="251662336" behindDoc="0" locked="0" layoutInCell="1" allowOverlap="1" wp14:anchorId="4E632C37" wp14:editId="5ABC74B3">
              <wp:simplePos x="0" y="0"/>
              <wp:positionH relativeFrom="column">
                <wp:posOffset>0</wp:posOffset>
              </wp:positionH>
              <wp:positionV relativeFrom="paragraph">
                <wp:posOffset>0</wp:posOffset>
              </wp:positionV>
              <wp:extent cx="5617210" cy="2246630"/>
              <wp:effectExtent l="0" t="0" r="2540" b="1270"/>
              <wp:wrapNone/>
              <wp:docPr id="38" name="WordArt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8E72325" id="WordArt 57" o:spid="_x0000_s1026" type="#_x0000_t202" style="position:absolute;margin-left:0;margin-top:0;width:442.3pt;height:17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63360" behindDoc="0" locked="0" layoutInCell="1" allowOverlap="1" wp14:anchorId="1F538C5A" wp14:editId="6141442B">
              <wp:simplePos x="0" y="0"/>
              <wp:positionH relativeFrom="column">
                <wp:posOffset>0</wp:posOffset>
              </wp:positionH>
              <wp:positionV relativeFrom="paragraph">
                <wp:posOffset>0</wp:posOffset>
              </wp:positionV>
              <wp:extent cx="5617210" cy="2246630"/>
              <wp:effectExtent l="0" t="0" r="2540" b="1270"/>
              <wp:wrapNone/>
              <wp:docPr id="37" name="WordArt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B665931" id="WordArt 33" o:spid="_x0000_s1026" type="#_x0000_t202" style="position:absolute;margin-left:0;margin-top:0;width:442.3pt;height:176.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64384" behindDoc="0" locked="0" layoutInCell="1" allowOverlap="1" wp14:anchorId="390215F2" wp14:editId="688F8180">
              <wp:simplePos x="0" y="0"/>
              <wp:positionH relativeFrom="column">
                <wp:posOffset>0</wp:posOffset>
              </wp:positionH>
              <wp:positionV relativeFrom="paragraph">
                <wp:posOffset>0</wp:posOffset>
              </wp:positionV>
              <wp:extent cx="5617210" cy="2246630"/>
              <wp:effectExtent l="0" t="0" r="2540" b="1270"/>
              <wp:wrapNone/>
              <wp:docPr id="36"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B590FCE" id="WordArt 9" o:spid="_x0000_s1026" type="#_x0000_t202" style="position:absolute;margin-left:0;margin-top:0;width:442.3pt;height:17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sidR="00CA575E">
      <w:rPr>
        <w:rFonts w:cs="Calibri"/>
        <w:bCs/>
        <w:i/>
        <w:color w:val="000080"/>
        <w:szCs w:val="24"/>
      </w:rPr>
      <w:t>Feasibility Investigation</w:t>
    </w:r>
  </w:p>
  <w:p w14:paraId="06A8E044" w14:textId="77777777" w:rsidR="00CA575E" w:rsidRPr="0004582F" w:rsidRDefault="00CA575E" w:rsidP="00707C8A">
    <w:pPr>
      <w:pStyle w:val="Header"/>
      <w:pBdr>
        <w:bottom w:val="single" w:sz="6" w:space="1" w:color="000080"/>
      </w:pBdr>
      <w:tabs>
        <w:tab w:val="clear" w:pos="8827"/>
        <w:tab w:val="right" w:pos="8820"/>
      </w:tabs>
      <w:spacing w:after="360"/>
      <w:jc w:val="both"/>
      <w:rPr>
        <w:color w:val="000080"/>
      </w:rPr>
    </w:pPr>
    <w:r>
      <w:rPr>
        <w:rFonts w:cs="Calibri"/>
        <w:bCs/>
        <w:i/>
        <w:color w:val="000080"/>
        <w:szCs w:val="24"/>
      </w:rPr>
      <w:t>For the Bedford Basin (Phase 1)</w:t>
    </w:r>
    <w:r w:rsidRPr="0004582F">
      <w:rPr>
        <w:color w:val="000080"/>
      </w:rPr>
      <w:tab/>
    </w:r>
    <w:r>
      <w:rPr>
        <w:color w:val="000080"/>
      </w:rPr>
      <w:t>1</w:t>
    </w:r>
    <w:r w:rsidRPr="0004582F">
      <w:rPr>
        <w:color w:val="000080"/>
      </w:rPr>
      <w:t xml:space="preserve"> – </w:t>
    </w:r>
    <w:r>
      <w:rPr>
        <w:color w:val="000080"/>
      </w:rPr>
      <w:t>Introduction</w:t>
    </w:r>
    <w:r w:rsidRPr="0004582F">
      <w:rPr>
        <w:color w:val="000080"/>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5990D" w14:textId="03F968CD" w:rsidR="00CA575E" w:rsidRPr="003F7ACE" w:rsidRDefault="00467AC6">
    <w:r>
      <w:rPr>
        <w:noProof/>
      </w:rPr>
      <mc:AlternateContent>
        <mc:Choice Requires="wps">
          <w:drawing>
            <wp:anchor distT="0" distB="0" distL="114300" distR="114300" simplePos="0" relativeHeight="251653120" behindDoc="0" locked="0" layoutInCell="1" allowOverlap="1" wp14:anchorId="6B0FF39A" wp14:editId="67214FA5">
              <wp:simplePos x="0" y="0"/>
              <wp:positionH relativeFrom="column">
                <wp:posOffset>0</wp:posOffset>
              </wp:positionH>
              <wp:positionV relativeFrom="paragraph">
                <wp:posOffset>0</wp:posOffset>
              </wp:positionV>
              <wp:extent cx="1495425" cy="523875"/>
              <wp:effectExtent l="0" t="0" r="0" b="0"/>
              <wp:wrapNone/>
              <wp:docPr id="35" name="WordArt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95425" cy="523875"/>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D3AEBAB" id="_x0000_t202" coordsize="21600,21600" o:spt="202" path="m,l,21600r21600,l21600,xe">
              <v:stroke joinstyle="miter"/>
              <v:path gradientshapeok="t" o:connecttype="rect"/>
            </v:shapetype>
            <v:shape id="WordArt 79" o:spid="_x0000_s1026" type="#_x0000_t202" style="position:absolute;margin-left:0;margin-top:0;width:117.75pt;height:41.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" filled="f" stroked="f">
              <o:lock v:ext="edit" text="t" shapetype="t"/>
            </v:shape>
          </w:pict>
        </mc:Fallback>
      </mc:AlternateContent>
    </w:r>
    <w:r>
      <w:rPr>
        <w:noProof/>
      </w:rPr>
      <mc:AlternateContent>
        <mc:Choice Requires="wps">
          <w:drawing>
            <wp:anchor distT="0" distB="0" distL="114300" distR="114300" simplePos="0" relativeHeight="251654144" behindDoc="0" locked="0" layoutInCell="1" allowOverlap="1" wp14:anchorId="4EF8716D" wp14:editId="2849D955">
              <wp:simplePos x="0" y="0"/>
              <wp:positionH relativeFrom="column">
                <wp:posOffset>0</wp:posOffset>
              </wp:positionH>
              <wp:positionV relativeFrom="paragraph">
                <wp:posOffset>0</wp:posOffset>
              </wp:positionV>
              <wp:extent cx="5617210" cy="2246630"/>
              <wp:effectExtent l="0" t="0" r="2540" b="1270"/>
              <wp:wrapNone/>
              <wp:docPr id="34" name="WordArt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DD48728" id="WordArt 55" o:spid="_x0000_s1026" type="#_x0000_t202" style="position:absolute;margin-left:0;margin-top:0;width:442.3pt;height:17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55168" behindDoc="0" locked="0" layoutInCell="1" allowOverlap="1" wp14:anchorId="700E102B" wp14:editId="79E560E7">
              <wp:simplePos x="0" y="0"/>
              <wp:positionH relativeFrom="column">
                <wp:posOffset>0</wp:posOffset>
              </wp:positionH>
              <wp:positionV relativeFrom="paragraph">
                <wp:posOffset>0</wp:posOffset>
              </wp:positionV>
              <wp:extent cx="5617210" cy="2246630"/>
              <wp:effectExtent l="0" t="0" r="2540" b="1270"/>
              <wp:wrapNone/>
              <wp:docPr id="33" name="WordArt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1C5181C" id="WordArt 31" o:spid="_x0000_s1026" type="#_x0000_t202" style="position:absolute;margin-left:0;margin-top:0;width:442.3pt;height:176.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56192" behindDoc="0" locked="0" layoutInCell="1" allowOverlap="1" wp14:anchorId="58074791" wp14:editId="02677C1C">
              <wp:simplePos x="0" y="0"/>
              <wp:positionH relativeFrom="column">
                <wp:posOffset>0</wp:posOffset>
              </wp:positionH>
              <wp:positionV relativeFrom="paragraph">
                <wp:posOffset>0</wp:posOffset>
              </wp:positionV>
              <wp:extent cx="5617210" cy="2246630"/>
              <wp:effectExtent l="0" t="0" r="2540" b="1270"/>
              <wp:wrapNone/>
              <wp:docPr id="31"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999DFC6" id="WordArt 7" o:spid="_x0000_s1026" type="#_x0000_t202" style="position:absolute;margin-left:0;margin-top:0;width:442.3pt;height:176.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sidR="00CA575E">
      <w:rPr>
        <w:noProof/>
      </w:rPr>
      <w:drawing>
        <wp:anchor distT="0" distB="0" distL="114300" distR="114300" simplePos="0" relativeHeight="251648000" behindDoc="1" locked="0" layoutInCell="1" allowOverlap="1" wp14:anchorId="05511CE3" wp14:editId="710185CB">
          <wp:simplePos x="0" y="0"/>
          <wp:positionH relativeFrom="column">
            <wp:align>center</wp:align>
          </wp:positionH>
          <wp:positionV relativeFrom="paragraph">
            <wp:posOffset>484505</wp:posOffset>
          </wp:positionV>
          <wp:extent cx="5934456" cy="44477"/>
          <wp:effectExtent l="0" t="0" r="0" b="0"/>
          <wp:wrapNone/>
          <wp:docPr id="43" name="Picture 43" descr="blue bar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blue bar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456" cy="44477"/>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E7BAC" w14:textId="07B5F2C3" w:rsidR="00CA575E" w:rsidRDefault="00467AC6">
    <w:pPr>
      <w:pStyle w:val="Header"/>
    </w:pPr>
    <w:r>
      <w:rPr>
        <w:noProof/>
      </w:rPr>
      <mc:AlternateContent>
        <mc:Choice Requires="wps">
          <w:drawing>
            <wp:anchor distT="0" distB="0" distL="114300" distR="114300" simplePos="0" relativeHeight="251669504" behindDoc="0" locked="0" layoutInCell="1" allowOverlap="1" wp14:anchorId="21A03576" wp14:editId="13F3B6BB">
              <wp:simplePos x="0" y="0"/>
              <wp:positionH relativeFrom="column">
                <wp:posOffset>0</wp:posOffset>
              </wp:positionH>
              <wp:positionV relativeFrom="paragraph">
                <wp:posOffset>0</wp:posOffset>
              </wp:positionV>
              <wp:extent cx="1495425" cy="523875"/>
              <wp:effectExtent l="0" t="0" r="0" b="0"/>
              <wp:wrapNone/>
              <wp:docPr id="30" name="WordArt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95425" cy="523875"/>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E961FC" id="_x0000_t202" coordsize="21600,21600" o:spt="202" path="m,l,21600r21600,l21600,xe">
              <v:stroke joinstyle="miter"/>
              <v:path gradientshapeok="t" o:connecttype="rect"/>
            </v:shapetype>
            <v:shape id="WordArt 83" o:spid="_x0000_s1026" type="#_x0000_t202" style="position:absolute;margin-left:0;margin-top:0;width:117.75pt;height:4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" filled="f" stroked="f">
              <o:lock v:ext="edit" text="t" shapetype="t"/>
            </v:shape>
          </w:pict>
        </mc:Fallback>
      </mc:AlternateContent>
    </w:r>
    <w:r>
      <w:rPr>
        <w:noProof/>
      </w:rPr>
      <mc:AlternateContent>
        <mc:Choice Requires="wps">
          <w:drawing>
            <wp:anchor distT="0" distB="0" distL="114300" distR="114300" simplePos="0" relativeHeight="251670528" behindDoc="0" locked="0" layoutInCell="1" allowOverlap="1" wp14:anchorId="3207F8A6" wp14:editId="16704877">
              <wp:simplePos x="0" y="0"/>
              <wp:positionH relativeFrom="column">
                <wp:posOffset>0</wp:posOffset>
              </wp:positionH>
              <wp:positionV relativeFrom="paragraph">
                <wp:posOffset>0</wp:posOffset>
              </wp:positionV>
              <wp:extent cx="5617210" cy="2246630"/>
              <wp:effectExtent l="0" t="0" r="2540" b="1270"/>
              <wp:wrapNone/>
              <wp:docPr id="28" name="WordArt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604362" id="WordArt 59" o:spid="_x0000_s1026" type="#_x0000_t202" style="position:absolute;margin-left:0;margin-top:0;width:442.3pt;height:17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71552" behindDoc="0" locked="0" layoutInCell="1" allowOverlap="1" wp14:anchorId="7A77F4E5" wp14:editId="3537B77E">
              <wp:simplePos x="0" y="0"/>
              <wp:positionH relativeFrom="column">
                <wp:posOffset>0</wp:posOffset>
              </wp:positionH>
              <wp:positionV relativeFrom="paragraph">
                <wp:posOffset>0</wp:posOffset>
              </wp:positionV>
              <wp:extent cx="5617210" cy="2246630"/>
              <wp:effectExtent l="0" t="0" r="2540" b="1270"/>
              <wp:wrapNone/>
              <wp:docPr id="27" name="WordArt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0992CC6" id="WordArt 35" o:spid="_x0000_s1026" type="#_x0000_t202" style="position:absolute;margin-left:0;margin-top:0;width:442.3pt;height:17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72576" behindDoc="0" locked="0" layoutInCell="1" allowOverlap="1" wp14:anchorId="49AB6B3C" wp14:editId="0ACB9605">
              <wp:simplePos x="0" y="0"/>
              <wp:positionH relativeFrom="column">
                <wp:posOffset>0</wp:posOffset>
              </wp:positionH>
              <wp:positionV relativeFrom="paragraph">
                <wp:posOffset>0</wp:posOffset>
              </wp:positionV>
              <wp:extent cx="5617210" cy="2246630"/>
              <wp:effectExtent l="0" t="0" r="2540" b="1270"/>
              <wp:wrapNone/>
              <wp:docPr id="16" name="WordAr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FBBA769" id="WordArt 11" o:spid="_x0000_s1026" type="#_x0000_t202" style="position:absolute;margin-left:0;margin-top:0;width:442.3pt;height:17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7E10E" w14:textId="4C84FD14" w:rsidR="00CA575E" w:rsidRDefault="00467AC6" w:rsidP="004A55CD">
    <w:pPr>
      <w:pStyle w:val="Header"/>
      <w:pBdr>
        <w:bottom w:val="single" w:sz="6" w:space="1" w:color="000080"/>
      </w:pBdr>
      <w:spacing w:after="0"/>
      <w:jc w:val="both"/>
      <w:rPr>
        <w:rFonts w:cs="Calibri"/>
        <w:bCs/>
        <w:i/>
        <w:color w:val="000080"/>
        <w:szCs w:val="24"/>
      </w:rPr>
    </w:pPr>
    <w:r>
      <w:rPr>
        <w:noProof/>
      </w:rPr>
      <mc:AlternateContent>
        <mc:Choice Requires="wps">
          <w:drawing>
            <wp:anchor distT="0" distB="0" distL="114300" distR="114300" simplePos="0" relativeHeight="251673600" behindDoc="0" locked="0" layoutInCell="1" allowOverlap="1" wp14:anchorId="5AAEF43F" wp14:editId="485052CA">
              <wp:simplePos x="0" y="0"/>
              <wp:positionH relativeFrom="column">
                <wp:posOffset>0</wp:posOffset>
              </wp:positionH>
              <wp:positionV relativeFrom="paragraph">
                <wp:posOffset>0</wp:posOffset>
              </wp:positionV>
              <wp:extent cx="1495425" cy="523875"/>
              <wp:effectExtent l="0" t="0" r="0" b="0"/>
              <wp:wrapNone/>
              <wp:docPr id="15" name="WordArt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95425" cy="523875"/>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F7AF8F" id="_x0000_t202" coordsize="21600,21600" o:spt="202" path="m,l,21600r21600,l21600,xe">
              <v:stroke joinstyle="miter"/>
              <v:path gradientshapeok="t" o:connecttype="rect"/>
            </v:shapetype>
            <v:shape id="WordArt 84" o:spid="_x0000_s1026" type="#_x0000_t202" style="position:absolute;margin-left:0;margin-top:0;width:117.75pt;height:4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" filled="f" stroked="f">
              <o:lock v:ext="edit" text="t" shapetype="t"/>
            </v:shape>
          </w:pict>
        </mc:Fallback>
      </mc:AlternateContent>
    </w:r>
    <w:r>
      <w:rPr>
        <w:noProof/>
      </w:rPr>
      <mc:AlternateContent>
        <mc:Choice Requires="wps">
          <w:drawing>
            <wp:anchor distT="0" distB="0" distL="114300" distR="114300" simplePos="0" relativeHeight="251674624" behindDoc="0" locked="0" layoutInCell="1" allowOverlap="1" wp14:anchorId="7A9FBB75" wp14:editId="3806E3C7">
              <wp:simplePos x="0" y="0"/>
              <wp:positionH relativeFrom="column">
                <wp:posOffset>0</wp:posOffset>
              </wp:positionH>
              <wp:positionV relativeFrom="paragraph">
                <wp:posOffset>0</wp:posOffset>
              </wp:positionV>
              <wp:extent cx="5617210" cy="2246630"/>
              <wp:effectExtent l="0" t="0" r="2540" b="1270"/>
              <wp:wrapNone/>
              <wp:docPr id="14" name="WordArt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427853B" id="WordArt 60" o:spid="_x0000_s1026" type="#_x0000_t202" style="position:absolute;margin-left:0;margin-top:0;width:442.3pt;height:17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75648" behindDoc="0" locked="0" layoutInCell="1" allowOverlap="1" wp14:anchorId="6F2E01B0" wp14:editId="60A36658">
              <wp:simplePos x="0" y="0"/>
              <wp:positionH relativeFrom="column">
                <wp:posOffset>0</wp:posOffset>
              </wp:positionH>
              <wp:positionV relativeFrom="paragraph">
                <wp:posOffset>0</wp:posOffset>
              </wp:positionV>
              <wp:extent cx="5617210" cy="2246630"/>
              <wp:effectExtent l="0" t="0" r="2540" b="1270"/>
              <wp:wrapNone/>
              <wp:docPr id="13" name="WordArt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5D51F2" id="WordArt 36" o:spid="_x0000_s1026" type="#_x0000_t202" style="position:absolute;margin-left:0;margin-top:0;width:442.3pt;height:176.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76672" behindDoc="0" locked="0" layoutInCell="1" allowOverlap="1" wp14:anchorId="0F28851C" wp14:editId="36EB462D">
              <wp:simplePos x="0" y="0"/>
              <wp:positionH relativeFrom="column">
                <wp:posOffset>0</wp:posOffset>
              </wp:positionH>
              <wp:positionV relativeFrom="paragraph">
                <wp:posOffset>0</wp:posOffset>
              </wp:positionV>
              <wp:extent cx="5617210" cy="2246630"/>
              <wp:effectExtent l="0" t="0" r="2540" b="1270"/>
              <wp:wrapNone/>
              <wp:docPr id="12"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AA604FF" id="WordArt 12" o:spid="_x0000_s1026" type="#_x0000_t202" style="position:absolute;margin-left:0;margin-top:0;width:442.3pt;height:176.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sidR="00CA575E">
      <w:rPr>
        <w:rFonts w:cs="Calibri"/>
        <w:bCs/>
        <w:i/>
        <w:color w:val="000080"/>
        <w:szCs w:val="24"/>
      </w:rPr>
      <w:t>Feasibility Investigation</w:t>
    </w:r>
  </w:p>
  <w:p w14:paraId="3431A570" w14:textId="77777777" w:rsidR="00CA575E" w:rsidRPr="0000315B" w:rsidRDefault="00CA575E" w:rsidP="00707C8A">
    <w:pPr>
      <w:pStyle w:val="Header"/>
      <w:pBdr>
        <w:bottom w:val="single" w:sz="6" w:space="1" w:color="000080"/>
      </w:pBdr>
      <w:spacing w:after="360"/>
      <w:jc w:val="both"/>
      <w:rPr>
        <w:color w:val="000080"/>
      </w:rPr>
    </w:pPr>
    <w:r>
      <w:rPr>
        <w:rFonts w:cs="Calibri"/>
        <w:bCs/>
        <w:i/>
        <w:color w:val="000080"/>
        <w:szCs w:val="24"/>
      </w:rPr>
      <w:t>For the Bedford Basin (Phase 1)</w:t>
    </w:r>
    <w:r w:rsidRPr="0000315B">
      <w:rPr>
        <w:color w:val="000080"/>
      </w:rPr>
      <w:tab/>
    </w:r>
    <w:r>
      <w:rPr>
        <w:color w:val="000080"/>
      </w:rPr>
      <w:t>2</w:t>
    </w:r>
    <w:r w:rsidRPr="0000315B">
      <w:rPr>
        <w:color w:val="000080"/>
      </w:rPr>
      <w:t xml:space="preserve"> – </w:t>
    </w:r>
    <w:r>
      <w:rPr>
        <w:color w:val="000080"/>
      </w:rPr>
      <w:t>Surface Water Hydrology</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BE44" w14:textId="5D42E779" w:rsidR="00CA575E" w:rsidRPr="003F7ACE" w:rsidRDefault="00467AC6">
    <w:pPr>
      <w:spacing w:line="240" w:lineRule="auto"/>
    </w:pPr>
    <w:r>
      <w:rPr>
        <w:noProof/>
      </w:rPr>
      <mc:AlternateContent>
        <mc:Choice Requires="wps">
          <w:drawing>
            <wp:anchor distT="0" distB="0" distL="114300" distR="114300" simplePos="0" relativeHeight="251665408" behindDoc="0" locked="0" layoutInCell="1" allowOverlap="1" wp14:anchorId="13DFF279" wp14:editId="2E6469FD">
              <wp:simplePos x="0" y="0"/>
              <wp:positionH relativeFrom="column">
                <wp:posOffset>0</wp:posOffset>
              </wp:positionH>
              <wp:positionV relativeFrom="paragraph">
                <wp:posOffset>0</wp:posOffset>
              </wp:positionV>
              <wp:extent cx="1495425" cy="523875"/>
              <wp:effectExtent l="0" t="0" r="0" b="0"/>
              <wp:wrapNone/>
              <wp:docPr id="11" name="WordArt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95425" cy="523875"/>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20C2A4E" id="_x0000_t202" coordsize="21600,21600" o:spt="202" path="m,l,21600r21600,l21600,xe">
              <v:stroke joinstyle="miter"/>
              <v:path gradientshapeok="t" o:connecttype="rect"/>
            </v:shapetype>
            <v:shape id="WordArt 82" o:spid="_x0000_s1026" type="#_x0000_t202" style="position:absolute;margin-left:0;margin-top:0;width:117.75pt;height:4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" filled="f" stroked="f">
              <o:lock v:ext="edit" text="t" shapetype="t"/>
            </v:shape>
          </w:pict>
        </mc:Fallback>
      </mc:AlternateContent>
    </w:r>
    <w:r>
      <w:rPr>
        <w:noProof/>
      </w:rPr>
      <mc:AlternateContent>
        <mc:Choice Requires="wps">
          <w:drawing>
            <wp:anchor distT="0" distB="0" distL="114300" distR="114300" simplePos="0" relativeHeight="251666432" behindDoc="0" locked="0" layoutInCell="1" allowOverlap="1" wp14:anchorId="2B1096B6" wp14:editId="47F0AA44">
              <wp:simplePos x="0" y="0"/>
              <wp:positionH relativeFrom="column">
                <wp:posOffset>0</wp:posOffset>
              </wp:positionH>
              <wp:positionV relativeFrom="paragraph">
                <wp:posOffset>0</wp:posOffset>
              </wp:positionV>
              <wp:extent cx="5617210" cy="2246630"/>
              <wp:effectExtent l="0" t="0" r="2540" b="1270"/>
              <wp:wrapNone/>
              <wp:docPr id="10" name="WordArt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882BE71" id="WordArt 58" o:spid="_x0000_s1026" type="#_x0000_t202" style="position:absolute;margin-left:0;margin-top:0;width:442.3pt;height:176.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67456" behindDoc="0" locked="0" layoutInCell="1" allowOverlap="1" wp14:anchorId="6C5372BB" wp14:editId="0D176730">
              <wp:simplePos x="0" y="0"/>
              <wp:positionH relativeFrom="column">
                <wp:posOffset>0</wp:posOffset>
              </wp:positionH>
              <wp:positionV relativeFrom="paragraph">
                <wp:posOffset>0</wp:posOffset>
              </wp:positionV>
              <wp:extent cx="5617210" cy="2246630"/>
              <wp:effectExtent l="0" t="0" r="2540" b="1270"/>
              <wp:wrapNone/>
              <wp:docPr id="8" name="WordArt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AB6FF9D" id="WordArt 34" o:spid="_x0000_s1026" type="#_x0000_t202" style="position:absolute;margin-left:0;margin-top:0;width:442.3pt;height:17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Pr>
        <w:noProof/>
      </w:rPr>
      <mc:AlternateContent>
        <mc:Choice Requires="wps">
          <w:drawing>
            <wp:anchor distT="0" distB="0" distL="114300" distR="114300" simplePos="0" relativeHeight="251668480" behindDoc="0" locked="0" layoutInCell="1" allowOverlap="1" wp14:anchorId="320B86C8" wp14:editId="0256470B">
              <wp:simplePos x="0" y="0"/>
              <wp:positionH relativeFrom="column">
                <wp:posOffset>0</wp:posOffset>
              </wp:positionH>
              <wp:positionV relativeFrom="paragraph">
                <wp:posOffset>0</wp:posOffset>
              </wp:positionV>
              <wp:extent cx="5617210" cy="2246630"/>
              <wp:effectExtent l="0" t="0" r="2540" b="1270"/>
              <wp:wrapNone/>
              <wp:docPr id="3" name="WordArt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7210" cy="224663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F9BA1C7" id="WordArt 10" o:spid="_x0000_s1026" type="#_x0000_t202" style="position:absolute;margin-left:0;margin-top:0;width:442.3pt;height:176.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" filled="f" stroked="f">
              <o:lock v:ext="edit" text="t" shapetype="t"/>
            </v:shape>
          </w:pict>
        </mc:Fallback>
      </mc:AlternateContent>
    </w:r>
    <w:r w:rsidR="00CA575E">
      <w:rPr>
        <w:noProof/>
      </w:rPr>
      <w:drawing>
        <wp:anchor distT="0" distB="0" distL="114300" distR="114300" simplePos="0" relativeHeight="251638784" behindDoc="1" locked="0" layoutInCell="1" allowOverlap="1" wp14:anchorId="5D2440EB" wp14:editId="62769EAD">
          <wp:simplePos x="0" y="0"/>
          <wp:positionH relativeFrom="page">
            <wp:align>center</wp:align>
          </wp:positionH>
          <wp:positionV relativeFrom="paragraph">
            <wp:posOffset>482600</wp:posOffset>
          </wp:positionV>
          <wp:extent cx="5934456" cy="44477"/>
          <wp:effectExtent l="0" t="0" r="0" b="0"/>
          <wp:wrapNone/>
          <wp:docPr id="44" name="Picture 44" descr="blue bar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blue bar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456" cy="44477"/>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A5000" w14:textId="77777777" w:rsidR="00CA575E" w:rsidRDefault="00CA575E" w:rsidP="002E2C47">
    <w:pPr>
      <w:pStyle w:val="Header"/>
      <w:pBdr>
        <w:bottom w:val="single" w:sz="6" w:space="1" w:color="000080"/>
      </w:pBdr>
      <w:spacing w:after="0"/>
      <w:jc w:val="both"/>
      <w:rPr>
        <w:rFonts w:cs="Calibri"/>
        <w:bCs/>
        <w:i/>
        <w:color w:val="000080"/>
        <w:szCs w:val="24"/>
      </w:rPr>
    </w:pPr>
    <w:r>
      <w:rPr>
        <w:rFonts w:cs="Calibri"/>
        <w:bCs/>
        <w:i/>
        <w:color w:val="000080"/>
        <w:szCs w:val="24"/>
      </w:rPr>
      <w:t>Feasibility Investigation</w:t>
    </w:r>
  </w:p>
  <w:p w14:paraId="3BCBFAEC" w14:textId="77777777" w:rsidR="00CA575E" w:rsidRPr="0000315B" w:rsidRDefault="00CA575E" w:rsidP="002E2C47">
    <w:pPr>
      <w:pStyle w:val="Header"/>
      <w:pBdr>
        <w:bottom w:val="single" w:sz="6" w:space="1" w:color="000080"/>
      </w:pBdr>
      <w:spacing w:after="360"/>
      <w:jc w:val="both"/>
      <w:rPr>
        <w:color w:val="000080"/>
      </w:rPr>
    </w:pPr>
    <w:r>
      <w:rPr>
        <w:rFonts w:cs="Calibri"/>
        <w:bCs/>
        <w:i/>
        <w:color w:val="000080"/>
        <w:szCs w:val="24"/>
      </w:rPr>
      <w:t>for the Bedford Basin (Phase 1)</w:t>
    </w:r>
    <w:r w:rsidRPr="0000315B">
      <w:rPr>
        <w:color w:val="000080"/>
      </w:rPr>
      <w:tab/>
    </w:r>
    <w:r>
      <w:rPr>
        <w:color w:val="000080"/>
      </w:rPr>
      <w:t>3</w:t>
    </w:r>
    <w:r w:rsidRPr="0000315B">
      <w:rPr>
        <w:color w:val="000080"/>
      </w:rPr>
      <w:t xml:space="preserve"> – </w:t>
    </w:r>
    <w:r>
      <w:rPr>
        <w:color w:val="000080"/>
      </w:rPr>
      <w:t>Hydrogeology</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5E0FF" w14:textId="77777777" w:rsidR="00CA575E" w:rsidRDefault="00CA575E" w:rsidP="00A136B0">
    <w:pPr>
      <w:pStyle w:val="Header"/>
      <w:pBdr>
        <w:bottom w:val="single" w:sz="6" w:space="1" w:color="000080"/>
      </w:pBdr>
      <w:spacing w:after="0"/>
      <w:jc w:val="both"/>
      <w:rPr>
        <w:rFonts w:cs="Calibri"/>
        <w:bCs/>
        <w:i/>
        <w:color w:val="000080"/>
        <w:szCs w:val="24"/>
      </w:rPr>
    </w:pPr>
    <w:r>
      <w:rPr>
        <w:rFonts w:cs="Calibri"/>
        <w:bCs/>
        <w:i/>
        <w:color w:val="000080"/>
        <w:szCs w:val="24"/>
      </w:rPr>
      <w:t>Feasibility Investigation</w:t>
    </w:r>
  </w:p>
  <w:p w14:paraId="29B56A2F" w14:textId="77777777" w:rsidR="00CA575E" w:rsidRPr="0000315B" w:rsidRDefault="00CA575E" w:rsidP="00A136B0">
    <w:pPr>
      <w:pStyle w:val="Header"/>
      <w:pBdr>
        <w:bottom w:val="single" w:sz="6" w:space="1" w:color="000080"/>
      </w:pBdr>
      <w:spacing w:after="360"/>
      <w:jc w:val="both"/>
      <w:rPr>
        <w:color w:val="000080"/>
      </w:rPr>
    </w:pPr>
    <w:r>
      <w:rPr>
        <w:rFonts w:cs="Calibri"/>
        <w:bCs/>
        <w:i/>
        <w:color w:val="000080"/>
        <w:szCs w:val="24"/>
      </w:rPr>
      <w:t>for the Bedford Basin (Phase 1)</w:t>
    </w:r>
    <w:r w:rsidRPr="0000315B">
      <w:rPr>
        <w:color w:val="000080"/>
      </w:rPr>
      <w:tab/>
    </w:r>
    <w:r>
      <w:rPr>
        <w:color w:val="000080"/>
      </w:rPr>
      <w:t>4</w:t>
    </w:r>
    <w:r w:rsidRPr="0000315B">
      <w:rPr>
        <w:color w:val="000080"/>
      </w:rPr>
      <w:t xml:space="preserve"> – </w:t>
    </w:r>
    <w:r>
      <w:rPr>
        <w:color w:val="000080"/>
      </w:rPr>
      <w:t>Conclusions and Recommendations</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B29B1" w14:textId="77777777" w:rsidR="00CA575E" w:rsidRPr="00A852B9" w:rsidRDefault="00CA575E" w:rsidP="00A852B9">
    <w:pPr>
      <w:pStyle w:val="Header"/>
      <w:pBdr>
        <w:bottom w:val="single" w:sz="4" w:space="1" w:color="000080"/>
      </w:pBdr>
      <w:spacing w:after="0"/>
      <w:rPr>
        <w:rFonts w:cs="Calibri"/>
        <w:bCs/>
        <w:i/>
        <w:color w:val="000080"/>
        <w:szCs w:val="24"/>
      </w:rPr>
    </w:pPr>
    <w:r w:rsidRPr="00A852B9">
      <w:rPr>
        <w:rFonts w:cs="Calibri"/>
        <w:bCs/>
        <w:i/>
        <w:color w:val="000080"/>
        <w:szCs w:val="24"/>
      </w:rPr>
      <w:t xml:space="preserve">Salt and Nutrient Management Plan </w:t>
    </w:r>
  </w:p>
  <w:p w14:paraId="1A2B4345" w14:textId="77777777" w:rsidR="00CA575E" w:rsidRPr="00BE7DDC" w:rsidRDefault="00CA575E" w:rsidP="00A852B9">
    <w:pPr>
      <w:pStyle w:val="Header"/>
      <w:pBdr>
        <w:bottom w:val="single" w:sz="4" w:space="1" w:color="000080"/>
      </w:pBdr>
      <w:spacing w:after="360"/>
      <w:jc w:val="both"/>
      <w:rPr>
        <w:color w:val="000080"/>
      </w:rPr>
    </w:pPr>
    <w:r w:rsidRPr="00A852B9">
      <w:rPr>
        <w:rFonts w:cs="Calibri"/>
        <w:bCs/>
        <w:i/>
        <w:color w:val="000080"/>
        <w:szCs w:val="24"/>
      </w:rPr>
      <w:t>for the Upper Temescal Valley</w:t>
    </w:r>
    <w:r w:rsidRPr="00BE7DDC">
      <w:rPr>
        <w:color w:val="000080"/>
      </w:rPr>
      <w:tab/>
    </w:r>
    <w:r>
      <w:rPr>
        <w:color w:val="000080"/>
      </w:rPr>
      <w:t>8</w:t>
    </w:r>
    <w:r w:rsidRPr="00BE7DDC">
      <w:rPr>
        <w:color w:val="000080"/>
      </w:rPr>
      <w:t xml:space="preserve"> – </w:t>
    </w:r>
    <w:r>
      <w:rPr>
        <w:color w:val="000080"/>
      </w:rPr>
      <w:t>References</w:t>
    </w:r>
    <w:r w:rsidRPr="00BE7DDC">
      <w:rPr>
        <w:color w:val="000080"/>
      </w:rPr>
      <w:tab/>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CB9CF" w14:textId="77777777" w:rsidR="00CA575E" w:rsidRDefault="00CA575E">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34FDF" w14:textId="77777777" w:rsidR="00CA575E" w:rsidRPr="000904F8" w:rsidRDefault="00CA575E"/>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D454" w14:textId="77777777" w:rsidR="00CA575E" w:rsidRDefault="00CA57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108FE12"/>
    <w:lvl w:ilvl="0">
      <w:start w:val="1"/>
      <w:numFmt w:val="decimal"/>
      <w:pStyle w:val="ListNumber5"/>
      <w:lvlText w:val="%1."/>
      <w:lvlJc w:val="left"/>
      <w:pPr>
        <w:tabs>
          <w:tab w:val="num" w:pos="7470"/>
        </w:tabs>
        <w:ind w:left="7470" w:hanging="360"/>
      </w:pPr>
    </w:lvl>
  </w:abstractNum>
  <w:abstractNum w:abstractNumId="1" w15:restartNumberingAfterBreak="0">
    <w:nsid w:val="FFFFFF7D"/>
    <w:multiLevelType w:val="singleLevel"/>
    <w:tmpl w:val="7A2C5B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1F015B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F1AB3B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B9CE00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D1C57B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A026F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AE78E"/>
    <w:lvl w:ilvl="0">
      <w:start w:val="1"/>
      <w:numFmt w:val="bullet"/>
      <w:pStyle w:val="ListBullet2"/>
      <w:lvlText w:val=""/>
      <w:lvlJc w:val="left"/>
      <w:pPr>
        <w:ind w:left="720" w:hanging="360"/>
      </w:pPr>
      <w:rPr>
        <w:rFonts w:ascii="Symbol" w:hAnsi="Symbol" w:hint="default"/>
        <w:color w:val="17365D" w:themeColor="text2" w:themeShade="BF"/>
        <w:sz w:val="20"/>
      </w:rPr>
    </w:lvl>
  </w:abstractNum>
  <w:abstractNum w:abstractNumId="8" w15:restartNumberingAfterBreak="0">
    <w:nsid w:val="FFFFFF88"/>
    <w:multiLevelType w:val="singleLevel"/>
    <w:tmpl w:val="9A94943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18028F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944AF0"/>
    <w:multiLevelType w:val="hybridMultilevel"/>
    <w:tmpl w:val="160AF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395754"/>
    <w:multiLevelType w:val="hybridMultilevel"/>
    <w:tmpl w:val="FE4EA10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0FBB1AE6"/>
    <w:multiLevelType w:val="hybridMultilevel"/>
    <w:tmpl w:val="1D325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DB5192"/>
    <w:multiLevelType w:val="hybridMultilevel"/>
    <w:tmpl w:val="4D3C7CF2"/>
    <w:lvl w:ilvl="0" w:tplc="AE0A284C">
      <w:start w:val="1"/>
      <w:numFmt w:val="lowerRoman"/>
      <w:pStyle w:val="listromannumeral"/>
      <w:lvlText w:val="%1."/>
      <w:lvlJc w:val="left"/>
      <w:pPr>
        <w:tabs>
          <w:tab w:val="num" w:pos="936"/>
        </w:tabs>
        <w:ind w:left="288" w:firstLine="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A4A3D82"/>
    <w:multiLevelType w:val="hybridMultilevel"/>
    <w:tmpl w:val="B70E0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155EB2"/>
    <w:multiLevelType w:val="hybridMultilevel"/>
    <w:tmpl w:val="3FC6F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4F3031"/>
    <w:multiLevelType w:val="hybridMultilevel"/>
    <w:tmpl w:val="0A244820"/>
    <w:lvl w:ilvl="0" w:tplc="EB3ACF78">
      <w:start w:val="1"/>
      <w:numFmt w:val="lowerLetter"/>
      <w:pStyle w:val="listlevel2"/>
      <w:lvlText w:val="%1."/>
      <w:lvlJc w:val="left"/>
      <w:pPr>
        <w:tabs>
          <w:tab w:val="num" w:pos="-288"/>
        </w:tabs>
        <w:ind w:left="-288" w:firstLine="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7D02097"/>
    <w:multiLevelType w:val="hybridMultilevel"/>
    <w:tmpl w:val="461ACB46"/>
    <w:lvl w:ilvl="0" w:tplc="EE806C64">
      <w:start w:val="1"/>
      <w:numFmt w:val="bullet"/>
      <w:pStyle w:val="2ndlevelbullet"/>
      <w:lvlText w:val=""/>
      <w:lvlJc w:val="left"/>
      <w:pPr>
        <w:tabs>
          <w:tab w:val="num" w:pos="360"/>
        </w:tabs>
        <w:ind w:left="936" w:hanging="288"/>
      </w:pPr>
      <w:rPr>
        <w:rFonts w:ascii="Wingdings" w:hAnsi="Wingdings" w:hint="default"/>
        <w:color w:val="011C67"/>
        <w:sz w:val="18"/>
        <w:szCs w:val="18"/>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9073B06"/>
    <w:multiLevelType w:val="hybridMultilevel"/>
    <w:tmpl w:val="068A5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0A05D7"/>
    <w:multiLevelType w:val="hybridMultilevel"/>
    <w:tmpl w:val="88465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1B79BC"/>
    <w:multiLevelType w:val="hybridMultilevel"/>
    <w:tmpl w:val="F3721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F7776C"/>
    <w:multiLevelType w:val="hybridMultilevel"/>
    <w:tmpl w:val="9E128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CE0570"/>
    <w:multiLevelType w:val="hybridMultilevel"/>
    <w:tmpl w:val="4F7A5262"/>
    <w:lvl w:ilvl="0" w:tplc="C526CFD8">
      <w:start w:val="1"/>
      <w:numFmt w:val="bullet"/>
      <w:pStyle w:val="1stlevelbullet"/>
      <w:lvlText w:val=""/>
      <w:lvlJc w:val="left"/>
      <w:pPr>
        <w:tabs>
          <w:tab w:val="num" w:pos="360"/>
        </w:tabs>
        <w:ind w:left="0" w:firstLine="288"/>
      </w:pPr>
      <w:rPr>
        <w:rFonts w:ascii="Symbol" w:hAnsi="Symbol" w:hint="default"/>
        <w:color w:val="011C67"/>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392B33"/>
    <w:multiLevelType w:val="hybridMultilevel"/>
    <w:tmpl w:val="DAA46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7C6C23"/>
    <w:multiLevelType w:val="hybridMultilevel"/>
    <w:tmpl w:val="8E4C7364"/>
    <w:lvl w:ilvl="0" w:tplc="A28C3F5C">
      <w:start w:val="1"/>
      <w:numFmt w:val="bullet"/>
      <w:pStyle w:val="ListBullet20"/>
      <w:lvlText w:val=""/>
      <w:lvlJc w:val="left"/>
      <w:pPr>
        <w:tabs>
          <w:tab w:val="num" w:pos="720"/>
        </w:tabs>
        <w:ind w:left="720" w:hanging="360"/>
      </w:pPr>
      <w:rPr>
        <w:rFonts w:ascii="Symbol" w:hAnsi="Symbol" w:hint="default"/>
        <w:color w:val="000080"/>
        <w:sz w:val="14"/>
        <w:szCs w:val="1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3EC653E"/>
    <w:multiLevelType w:val="hybridMultilevel"/>
    <w:tmpl w:val="AEC8C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EF12CA"/>
    <w:multiLevelType w:val="hybridMultilevel"/>
    <w:tmpl w:val="271E00E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85071AA"/>
    <w:multiLevelType w:val="hybridMultilevel"/>
    <w:tmpl w:val="16E472B2"/>
    <w:lvl w:ilvl="0" w:tplc="A1BC46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AC15B0"/>
    <w:multiLevelType w:val="hybridMultilevel"/>
    <w:tmpl w:val="8E38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F6485D"/>
    <w:multiLevelType w:val="hybridMultilevel"/>
    <w:tmpl w:val="ABFED09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E32300"/>
    <w:multiLevelType w:val="multilevel"/>
    <w:tmpl w:val="CFC678E2"/>
    <w:lvl w:ilvl="0">
      <w:start w:val="1"/>
      <w:numFmt w:val="decimal"/>
      <w:pStyle w:val="Heading1"/>
      <w:suff w:val="space"/>
      <w:lvlText w:val="Section %1"/>
      <w:lvlJc w:val="left"/>
      <w:pPr>
        <w:ind w:left="2970" w:firstLine="0"/>
      </w:pPr>
      <w:rPr>
        <w:rFonts w:ascii="Franklin Gothic Heavy" w:hAnsi="Franklin Gothic Heavy" w:hint="default"/>
        <w:color w:val="011C67"/>
        <w:sz w:val="32"/>
      </w:rPr>
    </w:lvl>
    <w:lvl w:ilvl="1">
      <w:start w:val="1"/>
      <w:numFmt w:val="decimal"/>
      <w:pStyle w:val="Heading2"/>
      <w:lvlText w:val="%1.%2"/>
      <w:lvlJc w:val="left"/>
      <w:pPr>
        <w:tabs>
          <w:tab w:val="num" w:pos="1098"/>
        </w:tabs>
        <w:ind w:left="1098" w:hanging="1008"/>
      </w:pPr>
      <w:rPr>
        <w:rFonts w:ascii="Franklin Gothic Heavy" w:hAnsi="Franklin Gothic Heavy" w:hint="default"/>
        <w:b w:val="0"/>
        <w:i w:val="0"/>
        <w:color w:val="011C67"/>
        <w:sz w:val="28"/>
        <w:szCs w:val="28"/>
      </w:rPr>
    </w:lvl>
    <w:lvl w:ilvl="2">
      <w:start w:val="1"/>
      <w:numFmt w:val="decimal"/>
      <w:pStyle w:val="Heading3"/>
      <w:lvlText w:val="%1.%2.%3"/>
      <w:lvlJc w:val="left"/>
      <w:pPr>
        <w:tabs>
          <w:tab w:val="num" w:pos="1458"/>
        </w:tabs>
        <w:ind w:left="1458" w:hanging="1008"/>
      </w:pPr>
      <w:rPr>
        <w:rFonts w:hint="default"/>
        <w:color w:val="011C67"/>
      </w:rPr>
    </w:lvl>
    <w:lvl w:ilvl="3">
      <w:start w:val="1"/>
      <w:numFmt w:val="decimal"/>
      <w:pStyle w:val="Heading4"/>
      <w:lvlText w:val="%1.%2.%3.%4"/>
      <w:lvlJc w:val="left"/>
      <w:pPr>
        <w:tabs>
          <w:tab w:val="num" w:pos="1458"/>
        </w:tabs>
        <w:ind w:left="1458" w:hanging="1008"/>
      </w:pPr>
      <w:rPr>
        <w:rFonts w:ascii="Franklin Gothic Heavy" w:hAnsi="Franklin Gothic Heavy" w:hint="default"/>
        <w:color w:val="011C67"/>
        <w:sz w:val="20"/>
        <w:szCs w:val="20"/>
      </w:rPr>
    </w:lvl>
    <w:lvl w:ilvl="4">
      <w:start w:val="1"/>
      <w:numFmt w:val="decimal"/>
      <w:pStyle w:val="Heading5"/>
      <w:lvlText w:val="%1.%2.%3.%4.%5"/>
      <w:lvlJc w:val="left"/>
      <w:pPr>
        <w:tabs>
          <w:tab w:val="num" w:pos="1008"/>
        </w:tabs>
        <w:ind w:left="1008" w:hanging="100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1" w15:restartNumberingAfterBreak="0">
    <w:nsid w:val="566946F8"/>
    <w:multiLevelType w:val="hybridMultilevel"/>
    <w:tmpl w:val="B7B051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0F19C1"/>
    <w:multiLevelType w:val="hybridMultilevel"/>
    <w:tmpl w:val="52365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712D82"/>
    <w:multiLevelType w:val="hybridMultilevel"/>
    <w:tmpl w:val="39503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32541F"/>
    <w:multiLevelType w:val="hybridMultilevel"/>
    <w:tmpl w:val="F7867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7322CE"/>
    <w:multiLevelType w:val="hybridMultilevel"/>
    <w:tmpl w:val="D2EC3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937681"/>
    <w:multiLevelType w:val="hybridMultilevel"/>
    <w:tmpl w:val="1E227D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7782222"/>
    <w:multiLevelType w:val="singleLevel"/>
    <w:tmpl w:val="60644A32"/>
    <w:lvl w:ilvl="0">
      <w:start w:val="1"/>
      <w:numFmt w:val="decimal"/>
      <w:pStyle w:val="listlevel1"/>
      <w:lvlText w:val="%1."/>
      <w:lvlJc w:val="left"/>
      <w:pPr>
        <w:tabs>
          <w:tab w:val="num" w:pos="288"/>
        </w:tabs>
        <w:ind w:left="360" w:hanging="72"/>
      </w:pPr>
      <w:rPr>
        <w:rFonts w:hint="default"/>
        <w:dstrike w:val="0"/>
        <w:sz w:val="21"/>
        <w:szCs w:val="21"/>
        <w:vertAlign w:val="baseline"/>
      </w:rPr>
    </w:lvl>
  </w:abstractNum>
  <w:abstractNum w:abstractNumId="38" w15:restartNumberingAfterBreak="0">
    <w:nsid w:val="6C28098F"/>
    <w:multiLevelType w:val="hybridMultilevel"/>
    <w:tmpl w:val="A8AA2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641BF6"/>
    <w:multiLevelType w:val="hybridMultilevel"/>
    <w:tmpl w:val="1AC2D08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7E505D"/>
    <w:multiLevelType w:val="hybridMultilevel"/>
    <w:tmpl w:val="9D0C6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9042C8"/>
    <w:multiLevelType w:val="singleLevel"/>
    <w:tmpl w:val="836083A4"/>
    <w:lvl w:ilvl="0">
      <w:start w:val="1"/>
      <w:numFmt w:val="bullet"/>
      <w:pStyle w:val="ListBull2"/>
      <w:lvlText w:val=""/>
      <w:lvlJc w:val="left"/>
      <w:pPr>
        <w:tabs>
          <w:tab w:val="num" w:pos="720"/>
        </w:tabs>
        <w:ind w:left="720" w:hanging="360"/>
      </w:pPr>
      <w:rPr>
        <w:rFonts w:ascii="Symbol" w:hAnsi="Symbol" w:hint="default"/>
        <w:sz w:val="16"/>
      </w:rPr>
    </w:lvl>
  </w:abstractNum>
  <w:abstractNum w:abstractNumId="42" w15:restartNumberingAfterBreak="0">
    <w:nsid w:val="79A91D6D"/>
    <w:multiLevelType w:val="hybridMultilevel"/>
    <w:tmpl w:val="E1F4CF54"/>
    <w:lvl w:ilvl="0" w:tplc="4622F7AE">
      <w:start w:val="1"/>
      <w:numFmt w:val="decimal"/>
      <w:pStyle w:val="odyLinespacingsingle"/>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C85408E"/>
    <w:multiLevelType w:val="hybridMultilevel"/>
    <w:tmpl w:val="B868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5708A7"/>
    <w:multiLevelType w:val="hybridMultilevel"/>
    <w:tmpl w:val="53DE0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37"/>
  </w:num>
  <w:num w:numId="4">
    <w:abstractNumId w:val="16"/>
  </w:num>
  <w:num w:numId="5">
    <w:abstractNumId w:val="13"/>
  </w:num>
  <w:num w:numId="6">
    <w:abstractNumId w:val="2"/>
  </w:num>
  <w:num w:numId="7">
    <w:abstractNumId w:val="1"/>
  </w:num>
  <w:num w:numId="8">
    <w:abstractNumId w:val="0"/>
  </w:num>
  <w:num w:numId="9">
    <w:abstractNumId w:val="8"/>
  </w:num>
  <w:num w:numId="10">
    <w:abstractNumId w:val="3"/>
  </w:num>
  <w:num w:numId="11">
    <w:abstractNumId w:val="6"/>
  </w:num>
  <w:num w:numId="12">
    <w:abstractNumId w:val="5"/>
  </w:num>
  <w:num w:numId="13">
    <w:abstractNumId w:val="4"/>
  </w:num>
  <w:num w:numId="14">
    <w:abstractNumId w:val="9"/>
  </w:num>
  <w:num w:numId="15">
    <w:abstractNumId w:val="7"/>
  </w:num>
  <w:num w:numId="16">
    <w:abstractNumId w:val="30"/>
  </w:num>
  <w:num w:numId="17">
    <w:abstractNumId w:val="41"/>
  </w:num>
  <w:num w:numId="18">
    <w:abstractNumId w:val="42"/>
  </w:num>
  <w:num w:numId="19">
    <w:abstractNumId w:val="24"/>
  </w:num>
  <w:num w:numId="20">
    <w:abstractNumId w:val="25"/>
  </w:num>
  <w:num w:numId="21">
    <w:abstractNumId w:val="11"/>
  </w:num>
  <w:num w:numId="22">
    <w:abstractNumId w:val="27"/>
  </w:num>
  <w:num w:numId="23">
    <w:abstractNumId w:val="10"/>
  </w:num>
  <w:num w:numId="24">
    <w:abstractNumId w:val="28"/>
  </w:num>
  <w:num w:numId="25">
    <w:abstractNumId w:val="38"/>
  </w:num>
  <w:num w:numId="26">
    <w:abstractNumId w:val="18"/>
  </w:num>
  <w:num w:numId="27">
    <w:abstractNumId w:val="33"/>
  </w:num>
  <w:num w:numId="28">
    <w:abstractNumId w:val="14"/>
  </w:num>
  <w:num w:numId="29">
    <w:abstractNumId w:val="34"/>
  </w:num>
  <w:num w:numId="30">
    <w:abstractNumId w:val="21"/>
  </w:num>
  <w:num w:numId="31">
    <w:abstractNumId w:val="39"/>
  </w:num>
  <w:num w:numId="32">
    <w:abstractNumId w:val="31"/>
  </w:num>
  <w:num w:numId="33">
    <w:abstractNumId w:val="26"/>
  </w:num>
  <w:num w:numId="34">
    <w:abstractNumId w:val="36"/>
  </w:num>
  <w:num w:numId="35">
    <w:abstractNumId w:val="40"/>
  </w:num>
  <w:num w:numId="36">
    <w:abstractNumId w:val="32"/>
  </w:num>
  <w:num w:numId="37">
    <w:abstractNumId w:val="23"/>
  </w:num>
  <w:num w:numId="38">
    <w:abstractNumId w:val="43"/>
  </w:num>
  <w:num w:numId="39">
    <w:abstractNumId w:val="44"/>
  </w:num>
  <w:num w:numId="40">
    <w:abstractNumId w:val="29"/>
  </w:num>
  <w:num w:numId="41">
    <w:abstractNumId w:val="35"/>
  </w:num>
  <w:num w:numId="42">
    <w:abstractNumId w:val="12"/>
  </w:num>
  <w:num w:numId="43">
    <w:abstractNumId w:val="15"/>
  </w:num>
  <w:num w:numId="44">
    <w:abstractNumId w:val="19"/>
  </w:num>
  <w:num w:numId="45">
    <w:abstractNumId w:val="20"/>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sus Gastelum">
    <w15:presenceInfo w15:providerId="AD" w15:userId="S-1-5-21-2085558001-840199829-965413785-65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10"/>
  <w:displayHorizontalDrawingGridEvery w:val="0"/>
  <w:displayVerticalDrawingGridEvery w:val="0"/>
  <w:noPunctuationKerning/>
  <w:characterSpacingControl w:val="doNotCompress"/>
  <w:hdrShapeDefaults>
    <o:shapedefaults v:ext="edit" spidmax="14434"/>
    <o:shapelayout v:ext="edit">
      <o:idmap v:ext="edit" data="14"/>
    </o:shapelayout>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652"/>
    <w:rsid w:val="000003D7"/>
    <w:rsid w:val="0000130D"/>
    <w:rsid w:val="000015E8"/>
    <w:rsid w:val="00002090"/>
    <w:rsid w:val="00002F17"/>
    <w:rsid w:val="0000315B"/>
    <w:rsid w:val="00004C2E"/>
    <w:rsid w:val="00005D05"/>
    <w:rsid w:val="00006008"/>
    <w:rsid w:val="00006101"/>
    <w:rsid w:val="00007966"/>
    <w:rsid w:val="00010921"/>
    <w:rsid w:val="00010C97"/>
    <w:rsid w:val="00011D69"/>
    <w:rsid w:val="00013E16"/>
    <w:rsid w:val="00013E81"/>
    <w:rsid w:val="000146C1"/>
    <w:rsid w:val="00014889"/>
    <w:rsid w:val="00016132"/>
    <w:rsid w:val="00017719"/>
    <w:rsid w:val="00017901"/>
    <w:rsid w:val="000202E2"/>
    <w:rsid w:val="0002178F"/>
    <w:rsid w:val="000218E4"/>
    <w:rsid w:val="00023E62"/>
    <w:rsid w:val="00024F18"/>
    <w:rsid w:val="000253C9"/>
    <w:rsid w:val="000259AD"/>
    <w:rsid w:val="000276FA"/>
    <w:rsid w:val="00033B2D"/>
    <w:rsid w:val="00033FA2"/>
    <w:rsid w:val="00034126"/>
    <w:rsid w:val="00034A75"/>
    <w:rsid w:val="00035926"/>
    <w:rsid w:val="000413C9"/>
    <w:rsid w:val="00041520"/>
    <w:rsid w:val="000432FB"/>
    <w:rsid w:val="00043D8F"/>
    <w:rsid w:val="00044279"/>
    <w:rsid w:val="0004582F"/>
    <w:rsid w:val="0004597C"/>
    <w:rsid w:val="00046158"/>
    <w:rsid w:val="00046B66"/>
    <w:rsid w:val="00046E79"/>
    <w:rsid w:val="00047099"/>
    <w:rsid w:val="000477F4"/>
    <w:rsid w:val="000479EC"/>
    <w:rsid w:val="00047D2D"/>
    <w:rsid w:val="00047ED7"/>
    <w:rsid w:val="00050ED7"/>
    <w:rsid w:val="00055070"/>
    <w:rsid w:val="000554CF"/>
    <w:rsid w:val="00057CEE"/>
    <w:rsid w:val="00060BC7"/>
    <w:rsid w:val="0006175C"/>
    <w:rsid w:val="000617BF"/>
    <w:rsid w:val="00061923"/>
    <w:rsid w:val="00061E27"/>
    <w:rsid w:val="00061F32"/>
    <w:rsid w:val="00062057"/>
    <w:rsid w:val="00062862"/>
    <w:rsid w:val="00062DF7"/>
    <w:rsid w:val="000633F7"/>
    <w:rsid w:val="00063D5B"/>
    <w:rsid w:val="0006437B"/>
    <w:rsid w:val="000654FD"/>
    <w:rsid w:val="0006566B"/>
    <w:rsid w:val="00066ABC"/>
    <w:rsid w:val="00067131"/>
    <w:rsid w:val="000678E8"/>
    <w:rsid w:val="000704CE"/>
    <w:rsid w:val="0007117D"/>
    <w:rsid w:val="000720C7"/>
    <w:rsid w:val="000723E1"/>
    <w:rsid w:val="0007269E"/>
    <w:rsid w:val="00072946"/>
    <w:rsid w:val="000734E7"/>
    <w:rsid w:val="00073739"/>
    <w:rsid w:val="00073A14"/>
    <w:rsid w:val="0007663B"/>
    <w:rsid w:val="00081D5D"/>
    <w:rsid w:val="0008219A"/>
    <w:rsid w:val="00083E79"/>
    <w:rsid w:val="00084BE7"/>
    <w:rsid w:val="00085DBE"/>
    <w:rsid w:val="00086AD4"/>
    <w:rsid w:val="0009242D"/>
    <w:rsid w:val="00093654"/>
    <w:rsid w:val="00093943"/>
    <w:rsid w:val="000955E7"/>
    <w:rsid w:val="000955F4"/>
    <w:rsid w:val="000A1DA0"/>
    <w:rsid w:val="000A268F"/>
    <w:rsid w:val="000A349B"/>
    <w:rsid w:val="000A37D8"/>
    <w:rsid w:val="000A5443"/>
    <w:rsid w:val="000B0586"/>
    <w:rsid w:val="000B131B"/>
    <w:rsid w:val="000B1592"/>
    <w:rsid w:val="000B29FE"/>
    <w:rsid w:val="000B382E"/>
    <w:rsid w:val="000B3919"/>
    <w:rsid w:val="000B3971"/>
    <w:rsid w:val="000B3A75"/>
    <w:rsid w:val="000B4357"/>
    <w:rsid w:val="000B454F"/>
    <w:rsid w:val="000B4D47"/>
    <w:rsid w:val="000B4F43"/>
    <w:rsid w:val="000B5AB6"/>
    <w:rsid w:val="000B7095"/>
    <w:rsid w:val="000B7ED9"/>
    <w:rsid w:val="000C28B6"/>
    <w:rsid w:val="000C3B27"/>
    <w:rsid w:val="000C5942"/>
    <w:rsid w:val="000C5F4C"/>
    <w:rsid w:val="000C606B"/>
    <w:rsid w:val="000C691A"/>
    <w:rsid w:val="000C6A19"/>
    <w:rsid w:val="000C6BDD"/>
    <w:rsid w:val="000C7AB1"/>
    <w:rsid w:val="000D1125"/>
    <w:rsid w:val="000D147B"/>
    <w:rsid w:val="000D1766"/>
    <w:rsid w:val="000D18E8"/>
    <w:rsid w:val="000D1F82"/>
    <w:rsid w:val="000D2510"/>
    <w:rsid w:val="000D27F1"/>
    <w:rsid w:val="000D3764"/>
    <w:rsid w:val="000D6FE0"/>
    <w:rsid w:val="000D70DF"/>
    <w:rsid w:val="000E1A95"/>
    <w:rsid w:val="000E2BAE"/>
    <w:rsid w:val="000E3326"/>
    <w:rsid w:val="000E3AB4"/>
    <w:rsid w:val="000E4CA3"/>
    <w:rsid w:val="000E5C7A"/>
    <w:rsid w:val="000E5F17"/>
    <w:rsid w:val="000E6042"/>
    <w:rsid w:val="000E6CEA"/>
    <w:rsid w:val="000F03CD"/>
    <w:rsid w:val="000F42FF"/>
    <w:rsid w:val="000F4FAB"/>
    <w:rsid w:val="000F58C5"/>
    <w:rsid w:val="000F7906"/>
    <w:rsid w:val="000F7CCE"/>
    <w:rsid w:val="0010078F"/>
    <w:rsid w:val="001007DD"/>
    <w:rsid w:val="001022DF"/>
    <w:rsid w:val="00102E29"/>
    <w:rsid w:val="00103E08"/>
    <w:rsid w:val="0010651D"/>
    <w:rsid w:val="00107AF7"/>
    <w:rsid w:val="001102EF"/>
    <w:rsid w:val="00110369"/>
    <w:rsid w:val="00111F82"/>
    <w:rsid w:val="001121F7"/>
    <w:rsid w:val="00112298"/>
    <w:rsid w:val="00114AD8"/>
    <w:rsid w:val="00114B82"/>
    <w:rsid w:val="00116BDC"/>
    <w:rsid w:val="00117DE9"/>
    <w:rsid w:val="00120714"/>
    <w:rsid w:val="0012072A"/>
    <w:rsid w:val="001223A9"/>
    <w:rsid w:val="00124506"/>
    <w:rsid w:val="00124A17"/>
    <w:rsid w:val="0012795B"/>
    <w:rsid w:val="00127C54"/>
    <w:rsid w:val="001306A5"/>
    <w:rsid w:val="00130EFC"/>
    <w:rsid w:val="00132EBF"/>
    <w:rsid w:val="00133677"/>
    <w:rsid w:val="00134262"/>
    <w:rsid w:val="001348CD"/>
    <w:rsid w:val="00135E6A"/>
    <w:rsid w:val="001364ED"/>
    <w:rsid w:val="001377BD"/>
    <w:rsid w:val="001400B8"/>
    <w:rsid w:val="00140CB7"/>
    <w:rsid w:val="00143855"/>
    <w:rsid w:val="00144A92"/>
    <w:rsid w:val="00144FBA"/>
    <w:rsid w:val="0014539E"/>
    <w:rsid w:val="00145F91"/>
    <w:rsid w:val="00147E32"/>
    <w:rsid w:val="0015181F"/>
    <w:rsid w:val="0015193F"/>
    <w:rsid w:val="00153968"/>
    <w:rsid w:val="001554C0"/>
    <w:rsid w:val="001554D3"/>
    <w:rsid w:val="00155C26"/>
    <w:rsid w:val="00155EF4"/>
    <w:rsid w:val="00155F5F"/>
    <w:rsid w:val="001561CE"/>
    <w:rsid w:val="00157A9A"/>
    <w:rsid w:val="00157D45"/>
    <w:rsid w:val="00157DC9"/>
    <w:rsid w:val="00160C78"/>
    <w:rsid w:val="00161B50"/>
    <w:rsid w:val="00163BEC"/>
    <w:rsid w:val="0016515B"/>
    <w:rsid w:val="00165E8C"/>
    <w:rsid w:val="001671AE"/>
    <w:rsid w:val="00170654"/>
    <w:rsid w:val="00171A78"/>
    <w:rsid w:val="00171E75"/>
    <w:rsid w:val="0017267B"/>
    <w:rsid w:val="00172D3C"/>
    <w:rsid w:val="00173831"/>
    <w:rsid w:val="001739BF"/>
    <w:rsid w:val="00173E91"/>
    <w:rsid w:val="00174987"/>
    <w:rsid w:val="00176DD7"/>
    <w:rsid w:val="00180524"/>
    <w:rsid w:val="00180E4C"/>
    <w:rsid w:val="0018104F"/>
    <w:rsid w:val="00183C16"/>
    <w:rsid w:val="00184902"/>
    <w:rsid w:val="00184F65"/>
    <w:rsid w:val="001865AA"/>
    <w:rsid w:val="00186873"/>
    <w:rsid w:val="001868DB"/>
    <w:rsid w:val="0018733D"/>
    <w:rsid w:val="00187AA4"/>
    <w:rsid w:val="0019099D"/>
    <w:rsid w:val="0019256C"/>
    <w:rsid w:val="00192C4A"/>
    <w:rsid w:val="001945F2"/>
    <w:rsid w:val="0019471A"/>
    <w:rsid w:val="00195BE5"/>
    <w:rsid w:val="00195E78"/>
    <w:rsid w:val="00196CB3"/>
    <w:rsid w:val="00196FFE"/>
    <w:rsid w:val="001A0B2A"/>
    <w:rsid w:val="001A23E6"/>
    <w:rsid w:val="001A2808"/>
    <w:rsid w:val="001A4D8D"/>
    <w:rsid w:val="001A5132"/>
    <w:rsid w:val="001A5CB4"/>
    <w:rsid w:val="001A7241"/>
    <w:rsid w:val="001A728F"/>
    <w:rsid w:val="001A7F74"/>
    <w:rsid w:val="001B05C6"/>
    <w:rsid w:val="001B0DC3"/>
    <w:rsid w:val="001B1334"/>
    <w:rsid w:val="001B2B85"/>
    <w:rsid w:val="001B561E"/>
    <w:rsid w:val="001B574F"/>
    <w:rsid w:val="001B57DD"/>
    <w:rsid w:val="001B5B59"/>
    <w:rsid w:val="001B67F2"/>
    <w:rsid w:val="001B7D59"/>
    <w:rsid w:val="001B7E6A"/>
    <w:rsid w:val="001C0528"/>
    <w:rsid w:val="001C0FF4"/>
    <w:rsid w:val="001C126B"/>
    <w:rsid w:val="001C34FC"/>
    <w:rsid w:val="001C4516"/>
    <w:rsid w:val="001C4553"/>
    <w:rsid w:val="001C464D"/>
    <w:rsid w:val="001C58BC"/>
    <w:rsid w:val="001C5E25"/>
    <w:rsid w:val="001D0B83"/>
    <w:rsid w:val="001D121E"/>
    <w:rsid w:val="001D16C2"/>
    <w:rsid w:val="001D16ED"/>
    <w:rsid w:val="001D27E0"/>
    <w:rsid w:val="001D39F0"/>
    <w:rsid w:val="001D3F6A"/>
    <w:rsid w:val="001D4924"/>
    <w:rsid w:val="001E04FD"/>
    <w:rsid w:val="001E1730"/>
    <w:rsid w:val="001E2FE5"/>
    <w:rsid w:val="001E4C64"/>
    <w:rsid w:val="001E580E"/>
    <w:rsid w:val="001E59D8"/>
    <w:rsid w:val="001E6678"/>
    <w:rsid w:val="001E7202"/>
    <w:rsid w:val="001E7588"/>
    <w:rsid w:val="001E7A7A"/>
    <w:rsid w:val="001F04FA"/>
    <w:rsid w:val="001F28D5"/>
    <w:rsid w:val="001F2DB2"/>
    <w:rsid w:val="001F3FC1"/>
    <w:rsid w:val="001F4127"/>
    <w:rsid w:val="001F417D"/>
    <w:rsid w:val="001F423B"/>
    <w:rsid w:val="001F50AF"/>
    <w:rsid w:val="001F5949"/>
    <w:rsid w:val="001F6083"/>
    <w:rsid w:val="001F709B"/>
    <w:rsid w:val="001F7712"/>
    <w:rsid w:val="001F7919"/>
    <w:rsid w:val="00200279"/>
    <w:rsid w:val="00200A0F"/>
    <w:rsid w:val="00201552"/>
    <w:rsid w:val="002016EB"/>
    <w:rsid w:val="00202215"/>
    <w:rsid w:val="00202BC8"/>
    <w:rsid w:val="002034FC"/>
    <w:rsid w:val="0020503D"/>
    <w:rsid w:val="0020511C"/>
    <w:rsid w:val="00206CD7"/>
    <w:rsid w:val="00207B5A"/>
    <w:rsid w:val="0021011D"/>
    <w:rsid w:val="00214C48"/>
    <w:rsid w:val="00214F9A"/>
    <w:rsid w:val="0021675E"/>
    <w:rsid w:val="00216E53"/>
    <w:rsid w:val="00217D80"/>
    <w:rsid w:val="0022033A"/>
    <w:rsid w:val="0022089D"/>
    <w:rsid w:val="00220D9C"/>
    <w:rsid w:val="00221035"/>
    <w:rsid w:val="002214AA"/>
    <w:rsid w:val="00222EF5"/>
    <w:rsid w:val="002242DE"/>
    <w:rsid w:val="002243ED"/>
    <w:rsid w:val="002259A5"/>
    <w:rsid w:val="00227647"/>
    <w:rsid w:val="00230AE3"/>
    <w:rsid w:val="002312DD"/>
    <w:rsid w:val="0023136E"/>
    <w:rsid w:val="002313CA"/>
    <w:rsid w:val="0023217A"/>
    <w:rsid w:val="0023243C"/>
    <w:rsid w:val="00232876"/>
    <w:rsid w:val="00233096"/>
    <w:rsid w:val="00234643"/>
    <w:rsid w:val="00235AFF"/>
    <w:rsid w:val="002361B8"/>
    <w:rsid w:val="0023624D"/>
    <w:rsid w:val="00237C19"/>
    <w:rsid w:val="002423B0"/>
    <w:rsid w:val="00243549"/>
    <w:rsid w:val="00244B44"/>
    <w:rsid w:val="00244C42"/>
    <w:rsid w:val="00245165"/>
    <w:rsid w:val="002455E6"/>
    <w:rsid w:val="0024565C"/>
    <w:rsid w:val="00245CF7"/>
    <w:rsid w:val="002474A3"/>
    <w:rsid w:val="0024757D"/>
    <w:rsid w:val="002478F6"/>
    <w:rsid w:val="00247A6B"/>
    <w:rsid w:val="0025051E"/>
    <w:rsid w:val="00251437"/>
    <w:rsid w:val="00251568"/>
    <w:rsid w:val="00251A09"/>
    <w:rsid w:val="002526A7"/>
    <w:rsid w:val="00252797"/>
    <w:rsid w:val="00257467"/>
    <w:rsid w:val="0025756D"/>
    <w:rsid w:val="00260232"/>
    <w:rsid w:val="00260B40"/>
    <w:rsid w:val="00262E4F"/>
    <w:rsid w:val="00265F4A"/>
    <w:rsid w:val="0026653F"/>
    <w:rsid w:val="00266721"/>
    <w:rsid w:val="00266C71"/>
    <w:rsid w:val="002671ED"/>
    <w:rsid w:val="00270855"/>
    <w:rsid w:val="002722A1"/>
    <w:rsid w:val="00272C41"/>
    <w:rsid w:val="00273813"/>
    <w:rsid w:val="0027484A"/>
    <w:rsid w:val="00274FA3"/>
    <w:rsid w:val="002758BD"/>
    <w:rsid w:val="00276172"/>
    <w:rsid w:val="00277A02"/>
    <w:rsid w:val="00277DAD"/>
    <w:rsid w:val="00281594"/>
    <w:rsid w:val="00282AD9"/>
    <w:rsid w:val="00283181"/>
    <w:rsid w:val="002846A8"/>
    <w:rsid w:val="002878DB"/>
    <w:rsid w:val="002904B8"/>
    <w:rsid w:val="00290DDE"/>
    <w:rsid w:val="00290E2E"/>
    <w:rsid w:val="0029195B"/>
    <w:rsid w:val="0029331D"/>
    <w:rsid w:val="00293404"/>
    <w:rsid w:val="00295B0E"/>
    <w:rsid w:val="002A213C"/>
    <w:rsid w:val="002A2DEE"/>
    <w:rsid w:val="002A3A2D"/>
    <w:rsid w:val="002A674B"/>
    <w:rsid w:val="002A75BE"/>
    <w:rsid w:val="002B0B94"/>
    <w:rsid w:val="002B1EDB"/>
    <w:rsid w:val="002B21A8"/>
    <w:rsid w:val="002B5A82"/>
    <w:rsid w:val="002B5E06"/>
    <w:rsid w:val="002B6ABB"/>
    <w:rsid w:val="002B7EFC"/>
    <w:rsid w:val="002C0E24"/>
    <w:rsid w:val="002C2222"/>
    <w:rsid w:val="002C243F"/>
    <w:rsid w:val="002C263E"/>
    <w:rsid w:val="002C415B"/>
    <w:rsid w:val="002C48D9"/>
    <w:rsid w:val="002C4D34"/>
    <w:rsid w:val="002C591B"/>
    <w:rsid w:val="002C62D8"/>
    <w:rsid w:val="002C728B"/>
    <w:rsid w:val="002C7307"/>
    <w:rsid w:val="002C7782"/>
    <w:rsid w:val="002C7D87"/>
    <w:rsid w:val="002D1A00"/>
    <w:rsid w:val="002D1A72"/>
    <w:rsid w:val="002D2D78"/>
    <w:rsid w:val="002D3886"/>
    <w:rsid w:val="002D41FB"/>
    <w:rsid w:val="002D49C0"/>
    <w:rsid w:val="002D50F5"/>
    <w:rsid w:val="002D67C6"/>
    <w:rsid w:val="002D7097"/>
    <w:rsid w:val="002D7239"/>
    <w:rsid w:val="002D779E"/>
    <w:rsid w:val="002E0521"/>
    <w:rsid w:val="002E0BB0"/>
    <w:rsid w:val="002E0ED6"/>
    <w:rsid w:val="002E0F81"/>
    <w:rsid w:val="002E18D0"/>
    <w:rsid w:val="002E1C14"/>
    <w:rsid w:val="002E29F7"/>
    <w:rsid w:val="002E2B39"/>
    <w:rsid w:val="002E2C47"/>
    <w:rsid w:val="002E31EA"/>
    <w:rsid w:val="002E4510"/>
    <w:rsid w:val="002E451D"/>
    <w:rsid w:val="002E467F"/>
    <w:rsid w:val="002E4D82"/>
    <w:rsid w:val="002E51EB"/>
    <w:rsid w:val="002E53E3"/>
    <w:rsid w:val="002E5B10"/>
    <w:rsid w:val="002E62BE"/>
    <w:rsid w:val="002E65B7"/>
    <w:rsid w:val="002E696E"/>
    <w:rsid w:val="002E6FB0"/>
    <w:rsid w:val="002F0C93"/>
    <w:rsid w:val="002F1C1D"/>
    <w:rsid w:val="002F4D86"/>
    <w:rsid w:val="002F52B2"/>
    <w:rsid w:val="002F5C6F"/>
    <w:rsid w:val="002F720B"/>
    <w:rsid w:val="00302363"/>
    <w:rsid w:val="0030268D"/>
    <w:rsid w:val="00302D77"/>
    <w:rsid w:val="003032E6"/>
    <w:rsid w:val="00304188"/>
    <w:rsid w:val="003049FE"/>
    <w:rsid w:val="00304FEF"/>
    <w:rsid w:val="00305FA5"/>
    <w:rsid w:val="00305FE1"/>
    <w:rsid w:val="0030615E"/>
    <w:rsid w:val="00306D9A"/>
    <w:rsid w:val="00307119"/>
    <w:rsid w:val="0031198D"/>
    <w:rsid w:val="00311E00"/>
    <w:rsid w:val="00313987"/>
    <w:rsid w:val="00313A0F"/>
    <w:rsid w:val="0031409E"/>
    <w:rsid w:val="00317E12"/>
    <w:rsid w:val="00320429"/>
    <w:rsid w:val="003211F3"/>
    <w:rsid w:val="003220A7"/>
    <w:rsid w:val="003234C3"/>
    <w:rsid w:val="00323C3E"/>
    <w:rsid w:val="0032400A"/>
    <w:rsid w:val="003243D5"/>
    <w:rsid w:val="00324DC1"/>
    <w:rsid w:val="00325FD6"/>
    <w:rsid w:val="00327A1A"/>
    <w:rsid w:val="003307D3"/>
    <w:rsid w:val="00332E14"/>
    <w:rsid w:val="00333EEA"/>
    <w:rsid w:val="0033456B"/>
    <w:rsid w:val="00335C3B"/>
    <w:rsid w:val="00337EC0"/>
    <w:rsid w:val="00341A19"/>
    <w:rsid w:val="00341B0D"/>
    <w:rsid w:val="00342FE6"/>
    <w:rsid w:val="00344263"/>
    <w:rsid w:val="00344CEB"/>
    <w:rsid w:val="00347FDF"/>
    <w:rsid w:val="0035127C"/>
    <w:rsid w:val="0035191A"/>
    <w:rsid w:val="003524DB"/>
    <w:rsid w:val="00352C39"/>
    <w:rsid w:val="00353300"/>
    <w:rsid w:val="00354B83"/>
    <w:rsid w:val="003552F8"/>
    <w:rsid w:val="0035545D"/>
    <w:rsid w:val="0035649B"/>
    <w:rsid w:val="00357C73"/>
    <w:rsid w:val="00360462"/>
    <w:rsid w:val="0036076B"/>
    <w:rsid w:val="00360C0E"/>
    <w:rsid w:val="003634F2"/>
    <w:rsid w:val="00364339"/>
    <w:rsid w:val="003651BE"/>
    <w:rsid w:val="0036590F"/>
    <w:rsid w:val="00367640"/>
    <w:rsid w:val="00367736"/>
    <w:rsid w:val="003709EE"/>
    <w:rsid w:val="00371140"/>
    <w:rsid w:val="003768CC"/>
    <w:rsid w:val="0037791B"/>
    <w:rsid w:val="00380720"/>
    <w:rsid w:val="00380E76"/>
    <w:rsid w:val="00381812"/>
    <w:rsid w:val="00381B34"/>
    <w:rsid w:val="00381CC6"/>
    <w:rsid w:val="0038372C"/>
    <w:rsid w:val="0038456F"/>
    <w:rsid w:val="0038530F"/>
    <w:rsid w:val="00385FCD"/>
    <w:rsid w:val="003865C6"/>
    <w:rsid w:val="003913D1"/>
    <w:rsid w:val="00391836"/>
    <w:rsid w:val="0039259E"/>
    <w:rsid w:val="003934DF"/>
    <w:rsid w:val="00393E6B"/>
    <w:rsid w:val="00395DC5"/>
    <w:rsid w:val="00396967"/>
    <w:rsid w:val="00397050"/>
    <w:rsid w:val="003A02AD"/>
    <w:rsid w:val="003A06B9"/>
    <w:rsid w:val="003A0FC5"/>
    <w:rsid w:val="003A3D7F"/>
    <w:rsid w:val="003A4243"/>
    <w:rsid w:val="003A6048"/>
    <w:rsid w:val="003B00A8"/>
    <w:rsid w:val="003B0F9D"/>
    <w:rsid w:val="003B2E16"/>
    <w:rsid w:val="003B4AEB"/>
    <w:rsid w:val="003B4B1C"/>
    <w:rsid w:val="003B5B3B"/>
    <w:rsid w:val="003B6840"/>
    <w:rsid w:val="003B754D"/>
    <w:rsid w:val="003C0A31"/>
    <w:rsid w:val="003C0BFD"/>
    <w:rsid w:val="003C0C96"/>
    <w:rsid w:val="003C0E98"/>
    <w:rsid w:val="003C6334"/>
    <w:rsid w:val="003D0A91"/>
    <w:rsid w:val="003D1373"/>
    <w:rsid w:val="003D1823"/>
    <w:rsid w:val="003D234C"/>
    <w:rsid w:val="003D243B"/>
    <w:rsid w:val="003D25C9"/>
    <w:rsid w:val="003D277B"/>
    <w:rsid w:val="003D3CB2"/>
    <w:rsid w:val="003D4189"/>
    <w:rsid w:val="003D5DCC"/>
    <w:rsid w:val="003D64AB"/>
    <w:rsid w:val="003D6639"/>
    <w:rsid w:val="003D7185"/>
    <w:rsid w:val="003E05C5"/>
    <w:rsid w:val="003E1229"/>
    <w:rsid w:val="003E1EC8"/>
    <w:rsid w:val="003E2C43"/>
    <w:rsid w:val="003E2FA6"/>
    <w:rsid w:val="003E437C"/>
    <w:rsid w:val="003E4CAE"/>
    <w:rsid w:val="003E4EFC"/>
    <w:rsid w:val="003E6AEF"/>
    <w:rsid w:val="003E79C8"/>
    <w:rsid w:val="003F0339"/>
    <w:rsid w:val="003F0350"/>
    <w:rsid w:val="003F064A"/>
    <w:rsid w:val="003F1E4C"/>
    <w:rsid w:val="003F21AA"/>
    <w:rsid w:val="003F224C"/>
    <w:rsid w:val="003F2A48"/>
    <w:rsid w:val="003F2FC4"/>
    <w:rsid w:val="003F33E5"/>
    <w:rsid w:val="003F341B"/>
    <w:rsid w:val="003F3903"/>
    <w:rsid w:val="003F3E6D"/>
    <w:rsid w:val="003F3EE3"/>
    <w:rsid w:val="003F448A"/>
    <w:rsid w:val="003F4A84"/>
    <w:rsid w:val="003F512B"/>
    <w:rsid w:val="003F5B0E"/>
    <w:rsid w:val="003F6C03"/>
    <w:rsid w:val="003F7082"/>
    <w:rsid w:val="003F7E1F"/>
    <w:rsid w:val="00400E66"/>
    <w:rsid w:val="00401088"/>
    <w:rsid w:val="0040126B"/>
    <w:rsid w:val="004015AB"/>
    <w:rsid w:val="00402DDA"/>
    <w:rsid w:val="00405D95"/>
    <w:rsid w:val="00406292"/>
    <w:rsid w:val="004077FA"/>
    <w:rsid w:val="00411E93"/>
    <w:rsid w:val="004123FA"/>
    <w:rsid w:val="004131A3"/>
    <w:rsid w:val="004131EA"/>
    <w:rsid w:val="0041448C"/>
    <w:rsid w:val="00414A54"/>
    <w:rsid w:val="00414D4F"/>
    <w:rsid w:val="00415972"/>
    <w:rsid w:val="00416E47"/>
    <w:rsid w:val="00417EF0"/>
    <w:rsid w:val="00420699"/>
    <w:rsid w:val="0042099F"/>
    <w:rsid w:val="00420F99"/>
    <w:rsid w:val="0042216D"/>
    <w:rsid w:val="004237EE"/>
    <w:rsid w:val="00424838"/>
    <w:rsid w:val="00424E70"/>
    <w:rsid w:val="0042541F"/>
    <w:rsid w:val="004274FA"/>
    <w:rsid w:val="004312F5"/>
    <w:rsid w:val="0043135F"/>
    <w:rsid w:val="00433D7D"/>
    <w:rsid w:val="00433DE5"/>
    <w:rsid w:val="00433FF7"/>
    <w:rsid w:val="00436EA6"/>
    <w:rsid w:val="00440D2B"/>
    <w:rsid w:val="00442A65"/>
    <w:rsid w:val="0044431F"/>
    <w:rsid w:val="00447B03"/>
    <w:rsid w:val="004502AA"/>
    <w:rsid w:val="00450C02"/>
    <w:rsid w:val="00450E2D"/>
    <w:rsid w:val="00451B54"/>
    <w:rsid w:val="00452BD6"/>
    <w:rsid w:val="004535EA"/>
    <w:rsid w:val="00453987"/>
    <w:rsid w:val="0045486B"/>
    <w:rsid w:val="0045649E"/>
    <w:rsid w:val="00457201"/>
    <w:rsid w:val="0045771F"/>
    <w:rsid w:val="00460D38"/>
    <w:rsid w:val="00460DC2"/>
    <w:rsid w:val="00461748"/>
    <w:rsid w:val="004617B7"/>
    <w:rsid w:val="00461F37"/>
    <w:rsid w:val="00462814"/>
    <w:rsid w:val="00462E2B"/>
    <w:rsid w:val="00463972"/>
    <w:rsid w:val="004645D2"/>
    <w:rsid w:val="00464B5E"/>
    <w:rsid w:val="004662B7"/>
    <w:rsid w:val="00466FBE"/>
    <w:rsid w:val="00467AC6"/>
    <w:rsid w:val="0047140C"/>
    <w:rsid w:val="00471CBB"/>
    <w:rsid w:val="00472D7C"/>
    <w:rsid w:val="0047476D"/>
    <w:rsid w:val="0047520A"/>
    <w:rsid w:val="004762EE"/>
    <w:rsid w:val="004762FC"/>
    <w:rsid w:val="004779BE"/>
    <w:rsid w:val="00477AA7"/>
    <w:rsid w:val="00480503"/>
    <w:rsid w:val="00480A89"/>
    <w:rsid w:val="00480DBF"/>
    <w:rsid w:val="0048100B"/>
    <w:rsid w:val="00482B8B"/>
    <w:rsid w:val="00483EDC"/>
    <w:rsid w:val="004845A4"/>
    <w:rsid w:val="00485814"/>
    <w:rsid w:val="004877D4"/>
    <w:rsid w:val="00487C97"/>
    <w:rsid w:val="0049229A"/>
    <w:rsid w:val="00492A90"/>
    <w:rsid w:val="00493451"/>
    <w:rsid w:val="00495548"/>
    <w:rsid w:val="004958A4"/>
    <w:rsid w:val="00496797"/>
    <w:rsid w:val="00497AAC"/>
    <w:rsid w:val="004A0072"/>
    <w:rsid w:val="004A23EB"/>
    <w:rsid w:val="004A47AD"/>
    <w:rsid w:val="004A55CD"/>
    <w:rsid w:val="004A5ACD"/>
    <w:rsid w:val="004B05E1"/>
    <w:rsid w:val="004B0804"/>
    <w:rsid w:val="004B0FF2"/>
    <w:rsid w:val="004B16A7"/>
    <w:rsid w:val="004B1BC5"/>
    <w:rsid w:val="004B5535"/>
    <w:rsid w:val="004B5832"/>
    <w:rsid w:val="004B6341"/>
    <w:rsid w:val="004B75CA"/>
    <w:rsid w:val="004C0E3D"/>
    <w:rsid w:val="004C199F"/>
    <w:rsid w:val="004C290E"/>
    <w:rsid w:val="004C306E"/>
    <w:rsid w:val="004C3B42"/>
    <w:rsid w:val="004C3B71"/>
    <w:rsid w:val="004C4EEB"/>
    <w:rsid w:val="004C5290"/>
    <w:rsid w:val="004C79C8"/>
    <w:rsid w:val="004C7D7F"/>
    <w:rsid w:val="004D0B7D"/>
    <w:rsid w:val="004D0D25"/>
    <w:rsid w:val="004D1187"/>
    <w:rsid w:val="004D1467"/>
    <w:rsid w:val="004D154A"/>
    <w:rsid w:val="004D1A1A"/>
    <w:rsid w:val="004D273B"/>
    <w:rsid w:val="004D2C1C"/>
    <w:rsid w:val="004D2DD5"/>
    <w:rsid w:val="004D3DDD"/>
    <w:rsid w:val="004D4DFF"/>
    <w:rsid w:val="004D4ECA"/>
    <w:rsid w:val="004D5990"/>
    <w:rsid w:val="004D69A3"/>
    <w:rsid w:val="004D7DCA"/>
    <w:rsid w:val="004E0EFF"/>
    <w:rsid w:val="004E173C"/>
    <w:rsid w:val="004E2422"/>
    <w:rsid w:val="004E3031"/>
    <w:rsid w:val="004E4211"/>
    <w:rsid w:val="004E4266"/>
    <w:rsid w:val="004E4BD3"/>
    <w:rsid w:val="004E4CAA"/>
    <w:rsid w:val="004E5231"/>
    <w:rsid w:val="004E5E08"/>
    <w:rsid w:val="004E6DC4"/>
    <w:rsid w:val="004E70DC"/>
    <w:rsid w:val="004F1314"/>
    <w:rsid w:val="004F1763"/>
    <w:rsid w:val="004F188E"/>
    <w:rsid w:val="004F29BF"/>
    <w:rsid w:val="004F2A0A"/>
    <w:rsid w:val="004F4221"/>
    <w:rsid w:val="004F49D8"/>
    <w:rsid w:val="004F4DE5"/>
    <w:rsid w:val="004F5280"/>
    <w:rsid w:val="004F6192"/>
    <w:rsid w:val="004F69A4"/>
    <w:rsid w:val="004F7E0E"/>
    <w:rsid w:val="005005D1"/>
    <w:rsid w:val="0050097F"/>
    <w:rsid w:val="005011DB"/>
    <w:rsid w:val="00501B49"/>
    <w:rsid w:val="00501C9B"/>
    <w:rsid w:val="00501DA6"/>
    <w:rsid w:val="005023E6"/>
    <w:rsid w:val="0050496F"/>
    <w:rsid w:val="00504E8E"/>
    <w:rsid w:val="00505364"/>
    <w:rsid w:val="00506D01"/>
    <w:rsid w:val="00506FB0"/>
    <w:rsid w:val="00507463"/>
    <w:rsid w:val="0050755B"/>
    <w:rsid w:val="0050792C"/>
    <w:rsid w:val="00507A94"/>
    <w:rsid w:val="00507E50"/>
    <w:rsid w:val="005101C9"/>
    <w:rsid w:val="00510FF4"/>
    <w:rsid w:val="00511D18"/>
    <w:rsid w:val="00511D81"/>
    <w:rsid w:val="0051242E"/>
    <w:rsid w:val="005127A5"/>
    <w:rsid w:val="00512E87"/>
    <w:rsid w:val="005144DF"/>
    <w:rsid w:val="005152ED"/>
    <w:rsid w:val="00515408"/>
    <w:rsid w:val="00515F40"/>
    <w:rsid w:val="005174F8"/>
    <w:rsid w:val="00523288"/>
    <w:rsid w:val="005257AF"/>
    <w:rsid w:val="00526FF6"/>
    <w:rsid w:val="00530F76"/>
    <w:rsid w:val="005315B9"/>
    <w:rsid w:val="0053365D"/>
    <w:rsid w:val="00537245"/>
    <w:rsid w:val="00540823"/>
    <w:rsid w:val="00541175"/>
    <w:rsid w:val="0054170C"/>
    <w:rsid w:val="00541B41"/>
    <w:rsid w:val="00542049"/>
    <w:rsid w:val="00542CB8"/>
    <w:rsid w:val="00543B6A"/>
    <w:rsid w:val="00543F89"/>
    <w:rsid w:val="005440A8"/>
    <w:rsid w:val="00544F01"/>
    <w:rsid w:val="00544F4A"/>
    <w:rsid w:val="00545EF5"/>
    <w:rsid w:val="00545F8F"/>
    <w:rsid w:val="00550686"/>
    <w:rsid w:val="00550C50"/>
    <w:rsid w:val="00550E83"/>
    <w:rsid w:val="00551CFB"/>
    <w:rsid w:val="005533A6"/>
    <w:rsid w:val="005536B0"/>
    <w:rsid w:val="00553B54"/>
    <w:rsid w:val="005555DC"/>
    <w:rsid w:val="00555C57"/>
    <w:rsid w:val="00556CA3"/>
    <w:rsid w:val="00557799"/>
    <w:rsid w:val="0056088E"/>
    <w:rsid w:val="0056341B"/>
    <w:rsid w:val="00563631"/>
    <w:rsid w:val="00563BB6"/>
    <w:rsid w:val="00563D43"/>
    <w:rsid w:val="00564B76"/>
    <w:rsid w:val="00565875"/>
    <w:rsid w:val="00567679"/>
    <w:rsid w:val="0056792A"/>
    <w:rsid w:val="005717F2"/>
    <w:rsid w:val="005726D5"/>
    <w:rsid w:val="005769CF"/>
    <w:rsid w:val="00582F4B"/>
    <w:rsid w:val="00583F62"/>
    <w:rsid w:val="0058462D"/>
    <w:rsid w:val="00585C9A"/>
    <w:rsid w:val="005863E7"/>
    <w:rsid w:val="00587253"/>
    <w:rsid w:val="00587EB3"/>
    <w:rsid w:val="00592142"/>
    <w:rsid w:val="0059596B"/>
    <w:rsid w:val="00596750"/>
    <w:rsid w:val="005A5D11"/>
    <w:rsid w:val="005A63AA"/>
    <w:rsid w:val="005A680D"/>
    <w:rsid w:val="005B04DB"/>
    <w:rsid w:val="005B1097"/>
    <w:rsid w:val="005B2C15"/>
    <w:rsid w:val="005B41CF"/>
    <w:rsid w:val="005B4B50"/>
    <w:rsid w:val="005B4D9D"/>
    <w:rsid w:val="005B4DDC"/>
    <w:rsid w:val="005B577E"/>
    <w:rsid w:val="005B5A7B"/>
    <w:rsid w:val="005B779C"/>
    <w:rsid w:val="005C00E1"/>
    <w:rsid w:val="005C011A"/>
    <w:rsid w:val="005C05FF"/>
    <w:rsid w:val="005C07A1"/>
    <w:rsid w:val="005C0E7D"/>
    <w:rsid w:val="005C1485"/>
    <w:rsid w:val="005C78F5"/>
    <w:rsid w:val="005D2A9B"/>
    <w:rsid w:val="005D2E0B"/>
    <w:rsid w:val="005D436C"/>
    <w:rsid w:val="005D6DFA"/>
    <w:rsid w:val="005D6EA4"/>
    <w:rsid w:val="005E0724"/>
    <w:rsid w:val="005E1AF0"/>
    <w:rsid w:val="005E2FE7"/>
    <w:rsid w:val="005E3441"/>
    <w:rsid w:val="005E5BFE"/>
    <w:rsid w:val="005E74FA"/>
    <w:rsid w:val="005F1541"/>
    <w:rsid w:val="005F3AC2"/>
    <w:rsid w:val="005F6225"/>
    <w:rsid w:val="005F6D51"/>
    <w:rsid w:val="005F712D"/>
    <w:rsid w:val="005F7E38"/>
    <w:rsid w:val="00600184"/>
    <w:rsid w:val="0060073C"/>
    <w:rsid w:val="00602DAB"/>
    <w:rsid w:val="00602F61"/>
    <w:rsid w:val="00603CD6"/>
    <w:rsid w:val="0060532F"/>
    <w:rsid w:val="00605B09"/>
    <w:rsid w:val="006064DB"/>
    <w:rsid w:val="00606E3C"/>
    <w:rsid w:val="00607905"/>
    <w:rsid w:val="00610823"/>
    <w:rsid w:val="00611194"/>
    <w:rsid w:val="00611B93"/>
    <w:rsid w:val="00611C6E"/>
    <w:rsid w:val="00611FA4"/>
    <w:rsid w:val="00612CBF"/>
    <w:rsid w:val="00613777"/>
    <w:rsid w:val="00614264"/>
    <w:rsid w:val="00614582"/>
    <w:rsid w:val="0061536D"/>
    <w:rsid w:val="00617D59"/>
    <w:rsid w:val="006212CE"/>
    <w:rsid w:val="00621A5E"/>
    <w:rsid w:val="00621B85"/>
    <w:rsid w:val="00624714"/>
    <w:rsid w:val="006271F6"/>
    <w:rsid w:val="0063026E"/>
    <w:rsid w:val="00630349"/>
    <w:rsid w:val="00630BFB"/>
    <w:rsid w:val="00630D27"/>
    <w:rsid w:val="00633411"/>
    <w:rsid w:val="00634A21"/>
    <w:rsid w:val="006370E8"/>
    <w:rsid w:val="00641BE2"/>
    <w:rsid w:val="00642F82"/>
    <w:rsid w:val="00643211"/>
    <w:rsid w:val="0064504F"/>
    <w:rsid w:val="00650076"/>
    <w:rsid w:val="00650D57"/>
    <w:rsid w:val="006549EC"/>
    <w:rsid w:val="00655637"/>
    <w:rsid w:val="00655E62"/>
    <w:rsid w:val="00656E11"/>
    <w:rsid w:val="00657D5C"/>
    <w:rsid w:val="00660C9D"/>
    <w:rsid w:val="00660EFA"/>
    <w:rsid w:val="00661FE3"/>
    <w:rsid w:val="00662E0A"/>
    <w:rsid w:val="00663602"/>
    <w:rsid w:val="006637E3"/>
    <w:rsid w:val="00663EA5"/>
    <w:rsid w:val="00665416"/>
    <w:rsid w:val="00665971"/>
    <w:rsid w:val="006672A6"/>
    <w:rsid w:val="0067273A"/>
    <w:rsid w:val="00673D9B"/>
    <w:rsid w:val="00676644"/>
    <w:rsid w:val="00676CBC"/>
    <w:rsid w:val="00676DD3"/>
    <w:rsid w:val="00677E20"/>
    <w:rsid w:val="00680B4C"/>
    <w:rsid w:val="006853D8"/>
    <w:rsid w:val="00685C39"/>
    <w:rsid w:val="0068600F"/>
    <w:rsid w:val="006864CD"/>
    <w:rsid w:val="00691EB2"/>
    <w:rsid w:val="00692231"/>
    <w:rsid w:val="00692D1A"/>
    <w:rsid w:val="006935D7"/>
    <w:rsid w:val="006953A3"/>
    <w:rsid w:val="006954A8"/>
    <w:rsid w:val="006978BA"/>
    <w:rsid w:val="00697AD6"/>
    <w:rsid w:val="006A05E7"/>
    <w:rsid w:val="006A1B24"/>
    <w:rsid w:val="006A2424"/>
    <w:rsid w:val="006A332F"/>
    <w:rsid w:val="006A3548"/>
    <w:rsid w:val="006A4C6D"/>
    <w:rsid w:val="006A54DD"/>
    <w:rsid w:val="006A5F84"/>
    <w:rsid w:val="006A6644"/>
    <w:rsid w:val="006A7012"/>
    <w:rsid w:val="006A7C4F"/>
    <w:rsid w:val="006B0070"/>
    <w:rsid w:val="006B0654"/>
    <w:rsid w:val="006B0948"/>
    <w:rsid w:val="006B1958"/>
    <w:rsid w:val="006B2981"/>
    <w:rsid w:val="006B2A48"/>
    <w:rsid w:val="006B57C8"/>
    <w:rsid w:val="006B5F92"/>
    <w:rsid w:val="006B6163"/>
    <w:rsid w:val="006B66F1"/>
    <w:rsid w:val="006B7BA5"/>
    <w:rsid w:val="006C074F"/>
    <w:rsid w:val="006C078C"/>
    <w:rsid w:val="006C4FE8"/>
    <w:rsid w:val="006C5789"/>
    <w:rsid w:val="006C604F"/>
    <w:rsid w:val="006C7A5C"/>
    <w:rsid w:val="006D1EB9"/>
    <w:rsid w:val="006D29A5"/>
    <w:rsid w:val="006D3912"/>
    <w:rsid w:val="006D57FB"/>
    <w:rsid w:val="006D5968"/>
    <w:rsid w:val="006D61BD"/>
    <w:rsid w:val="006D6288"/>
    <w:rsid w:val="006D6CB2"/>
    <w:rsid w:val="006E0E2A"/>
    <w:rsid w:val="006E11AD"/>
    <w:rsid w:val="006E20BF"/>
    <w:rsid w:val="006E2C97"/>
    <w:rsid w:val="006E32FC"/>
    <w:rsid w:val="006E483B"/>
    <w:rsid w:val="006E4F8C"/>
    <w:rsid w:val="006E62E9"/>
    <w:rsid w:val="006E688C"/>
    <w:rsid w:val="006E6E3E"/>
    <w:rsid w:val="006F0B33"/>
    <w:rsid w:val="006F2344"/>
    <w:rsid w:val="006F2B5A"/>
    <w:rsid w:val="006F2D2C"/>
    <w:rsid w:val="006F2E1E"/>
    <w:rsid w:val="006F3363"/>
    <w:rsid w:val="006F347D"/>
    <w:rsid w:val="006F5661"/>
    <w:rsid w:val="006F7C30"/>
    <w:rsid w:val="006F7F35"/>
    <w:rsid w:val="00700CB4"/>
    <w:rsid w:val="007016A5"/>
    <w:rsid w:val="00701815"/>
    <w:rsid w:val="00703106"/>
    <w:rsid w:val="0070404A"/>
    <w:rsid w:val="00704992"/>
    <w:rsid w:val="00705DF7"/>
    <w:rsid w:val="00706BA3"/>
    <w:rsid w:val="00707C8A"/>
    <w:rsid w:val="00710B84"/>
    <w:rsid w:val="00710F16"/>
    <w:rsid w:val="0071207F"/>
    <w:rsid w:val="007154AB"/>
    <w:rsid w:val="0071613F"/>
    <w:rsid w:val="007167DA"/>
    <w:rsid w:val="00717253"/>
    <w:rsid w:val="00717859"/>
    <w:rsid w:val="00717F99"/>
    <w:rsid w:val="007209B5"/>
    <w:rsid w:val="007230E6"/>
    <w:rsid w:val="00726133"/>
    <w:rsid w:val="00726288"/>
    <w:rsid w:val="00726C65"/>
    <w:rsid w:val="00726E2A"/>
    <w:rsid w:val="007271FC"/>
    <w:rsid w:val="00727EDD"/>
    <w:rsid w:val="00730BEE"/>
    <w:rsid w:val="00732BD9"/>
    <w:rsid w:val="0073318B"/>
    <w:rsid w:val="0073320E"/>
    <w:rsid w:val="0073504F"/>
    <w:rsid w:val="007356A9"/>
    <w:rsid w:val="00735776"/>
    <w:rsid w:val="00736398"/>
    <w:rsid w:val="00740299"/>
    <w:rsid w:val="00741346"/>
    <w:rsid w:val="007427A9"/>
    <w:rsid w:val="007429CE"/>
    <w:rsid w:val="00742ADD"/>
    <w:rsid w:val="007454BF"/>
    <w:rsid w:val="007460D0"/>
    <w:rsid w:val="00747671"/>
    <w:rsid w:val="007479C6"/>
    <w:rsid w:val="00751348"/>
    <w:rsid w:val="00751FAD"/>
    <w:rsid w:val="0075246E"/>
    <w:rsid w:val="00752E6B"/>
    <w:rsid w:val="00753DC9"/>
    <w:rsid w:val="0076007A"/>
    <w:rsid w:val="007607B0"/>
    <w:rsid w:val="00761FC2"/>
    <w:rsid w:val="007629AA"/>
    <w:rsid w:val="00764731"/>
    <w:rsid w:val="00764B26"/>
    <w:rsid w:val="00766DA2"/>
    <w:rsid w:val="00770864"/>
    <w:rsid w:val="00770FC7"/>
    <w:rsid w:val="00771DCA"/>
    <w:rsid w:val="007766FE"/>
    <w:rsid w:val="00777616"/>
    <w:rsid w:val="00777ADB"/>
    <w:rsid w:val="00777C62"/>
    <w:rsid w:val="007833F7"/>
    <w:rsid w:val="007836FD"/>
    <w:rsid w:val="00784F3A"/>
    <w:rsid w:val="007858FF"/>
    <w:rsid w:val="00786DF7"/>
    <w:rsid w:val="00787EE0"/>
    <w:rsid w:val="0079009A"/>
    <w:rsid w:val="00791659"/>
    <w:rsid w:val="0079252E"/>
    <w:rsid w:val="007935F6"/>
    <w:rsid w:val="00795215"/>
    <w:rsid w:val="007959EE"/>
    <w:rsid w:val="00795A53"/>
    <w:rsid w:val="007970CE"/>
    <w:rsid w:val="007A08C6"/>
    <w:rsid w:val="007A0A2D"/>
    <w:rsid w:val="007A0B82"/>
    <w:rsid w:val="007A155E"/>
    <w:rsid w:val="007A1584"/>
    <w:rsid w:val="007A33B8"/>
    <w:rsid w:val="007A6F99"/>
    <w:rsid w:val="007B03E8"/>
    <w:rsid w:val="007B1333"/>
    <w:rsid w:val="007B17FE"/>
    <w:rsid w:val="007B26B6"/>
    <w:rsid w:val="007B295D"/>
    <w:rsid w:val="007B32B6"/>
    <w:rsid w:val="007B33B9"/>
    <w:rsid w:val="007B3A63"/>
    <w:rsid w:val="007B42DC"/>
    <w:rsid w:val="007B5F31"/>
    <w:rsid w:val="007B7186"/>
    <w:rsid w:val="007C121F"/>
    <w:rsid w:val="007C1760"/>
    <w:rsid w:val="007C2806"/>
    <w:rsid w:val="007C2B97"/>
    <w:rsid w:val="007C4A4A"/>
    <w:rsid w:val="007C4F8B"/>
    <w:rsid w:val="007C564A"/>
    <w:rsid w:val="007C68C2"/>
    <w:rsid w:val="007C6EFC"/>
    <w:rsid w:val="007C76E2"/>
    <w:rsid w:val="007C781E"/>
    <w:rsid w:val="007D0DBA"/>
    <w:rsid w:val="007D0ED7"/>
    <w:rsid w:val="007D1567"/>
    <w:rsid w:val="007D262C"/>
    <w:rsid w:val="007D2B5C"/>
    <w:rsid w:val="007D2E50"/>
    <w:rsid w:val="007D3E8D"/>
    <w:rsid w:val="007D4902"/>
    <w:rsid w:val="007D5841"/>
    <w:rsid w:val="007D5DB7"/>
    <w:rsid w:val="007D5E93"/>
    <w:rsid w:val="007D6EA7"/>
    <w:rsid w:val="007D7626"/>
    <w:rsid w:val="007D7B44"/>
    <w:rsid w:val="007E09CC"/>
    <w:rsid w:val="007E392F"/>
    <w:rsid w:val="007E3A78"/>
    <w:rsid w:val="007E4B3B"/>
    <w:rsid w:val="007E4BF4"/>
    <w:rsid w:val="007E5A4D"/>
    <w:rsid w:val="007E5C72"/>
    <w:rsid w:val="007E61D3"/>
    <w:rsid w:val="007E6BE9"/>
    <w:rsid w:val="007E6FDA"/>
    <w:rsid w:val="007E75B0"/>
    <w:rsid w:val="007E7759"/>
    <w:rsid w:val="007F064C"/>
    <w:rsid w:val="007F40C6"/>
    <w:rsid w:val="007F61D3"/>
    <w:rsid w:val="007F6303"/>
    <w:rsid w:val="007F69DB"/>
    <w:rsid w:val="00801243"/>
    <w:rsid w:val="00801851"/>
    <w:rsid w:val="00803A5A"/>
    <w:rsid w:val="00803D0F"/>
    <w:rsid w:val="00804E9A"/>
    <w:rsid w:val="00806410"/>
    <w:rsid w:val="00807549"/>
    <w:rsid w:val="00807F6E"/>
    <w:rsid w:val="008107D8"/>
    <w:rsid w:val="008113A9"/>
    <w:rsid w:val="00813960"/>
    <w:rsid w:val="00813A16"/>
    <w:rsid w:val="00814513"/>
    <w:rsid w:val="00814627"/>
    <w:rsid w:val="008154C5"/>
    <w:rsid w:val="008162DE"/>
    <w:rsid w:val="008203C8"/>
    <w:rsid w:val="008204DD"/>
    <w:rsid w:val="00820593"/>
    <w:rsid w:val="00820AE6"/>
    <w:rsid w:val="0082141F"/>
    <w:rsid w:val="00822652"/>
    <w:rsid w:val="0082274D"/>
    <w:rsid w:val="00822B9A"/>
    <w:rsid w:val="00825D0C"/>
    <w:rsid w:val="00826F0D"/>
    <w:rsid w:val="00830989"/>
    <w:rsid w:val="00831683"/>
    <w:rsid w:val="008331AF"/>
    <w:rsid w:val="008333DC"/>
    <w:rsid w:val="008334E5"/>
    <w:rsid w:val="0083385F"/>
    <w:rsid w:val="00834707"/>
    <w:rsid w:val="00834753"/>
    <w:rsid w:val="0083708A"/>
    <w:rsid w:val="00840782"/>
    <w:rsid w:val="00841973"/>
    <w:rsid w:val="008441A4"/>
    <w:rsid w:val="0084515D"/>
    <w:rsid w:val="00845C55"/>
    <w:rsid w:val="00846C3F"/>
    <w:rsid w:val="0084752F"/>
    <w:rsid w:val="00850CCD"/>
    <w:rsid w:val="008528F8"/>
    <w:rsid w:val="0085403D"/>
    <w:rsid w:val="00854073"/>
    <w:rsid w:val="008545B8"/>
    <w:rsid w:val="00854C6A"/>
    <w:rsid w:val="008551E8"/>
    <w:rsid w:val="0085527E"/>
    <w:rsid w:val="008552A7"/>
    <w:rsid w:val="00855647"/>
    <w:rsid w:val="0085572C"/>
    <w:rsid w:val="00856C42"/>
    <w:rsid w:val="00861327"/>
    <w:rsid w:val="0086330A"/>
    <w:rsid w:val="008641C3"/>
    <w:rsid w:val="00864762"/>
    <w:rsid w:val="00864A53"/>
    <w:rsid w:val="00866291"/>
    <w:rsid w:val="00867B3B"/>
    <w:rsid w:val="0087102F"/>
    <w:rsid w:val="00871CC8"/>
    <w:rsid w:val="008735E5"/>
    <w:rsid w:val="008752D8"/>
    <w:rsid w:val="00875864"/>
    <w:rsid w:val="00881550"/>
    <w:rsid w:val="00881C3D"/>
    <w:rsid w:val="00881FF7"/>
    <w:rsid w:val="00883FA9"/>
    <w:rsid w:val="0088543E"/>
    <w:rsid w:val="00885CF4"/>
    <w:rsid w:val="008865B5"/>
    <w:rsid w:val="008901AB"/>
    <w:rsid w:val="008904F6"/>
    <w:rsid w:val="008912DC"/>
    <w:rsid w:val="008919B6"/>
    <w:rsid w:val="00894424"/>
    <w:rsid w:val="00896314"/>
    <w:rsid w:val="00897864"/>
    <w:rsid w:val="00897A96"/>
    <w:rsid w:val="008A06A7"/>
    <w:rsid w:val="008A1372"/>
    <w:rsid w:val="008A147E"/>
    <w:rsid w:val="008A1F68"/>
    <w:rsid w:val="008A27C5"/>
    <w:rsid w:val="008A4257"/>
    <w:rsid w:val="008A4258"/>
    <w:rsid w:val="008A4671"/>
    <w:rsid w:val="008A49B9"/>
    <w:rsid w:val="008A5AC3"/>
    <w:rsid w:val="008A5EC2"/>
    <w:rsid w:val="008A65A2"/>
    <w:rsid w:val="008B091A"/>
    <w:rsid w:val="008B112B"/>
    <w:rsid w:val="008B1A09"/>
    <w:rsid w:val="008B32DB"/>
    <w:rsid w:val="008B38DF"/>
    <w:rsid w:val="008C00DA"/>
    <w:rsid w:val="008C0C15"/>
    <w:rsid w:val="008C2110"/>
    <w:rsid w:val="008C2A0B"/>
    <w:rsid w:val="008C31A1"/>
    <w:rsid w:val="008C3E07"/>
    <w:rsid w:val="008C6A50"/>
    <w:rsid w:val="008C6B36"/>
    <w:rsid w:val="008C7FAF"/>
    <w:rsid w:val="008D2264"/>
    <w:rsid w:val="008D3D66"/>
    <w:rsid w:val="008D4397"/>
    <w:rsid w:val="008D58AA"/>
    <w:rsid w:val="008D6B02"/>
    <w:rsid w:val="008D6EAD"/>
    <w:rsid w:val="008E0A55"/>
    <w:rsid w:val="008E2D66"/>
    <w:rsid w:val="008E4F31"/>
    <w:rsid w:val="008E7DBD"/>
    <w:rsid w:val="008F0FA8"/>
    <w:rsid w:val="008F2844"/>
    <w:rsid w:val="008F3CAC"/>
    <w:rsid w:val="008F5968"/>
    <w:rsid w:val="008F6550"/>
    <w:rsid w:val="008F7896"/>
    <w:rsid w:val="008F7A0B"/>
    <w:rsid w:val="008F7D75"/>
    <w:rsid w:val="008F7F40"/>
    <w:rsid w:val="0090094C"/>
    <w:rsid w:val="00901A1E"/>
    <w:rsid w:val="0090205E"/>
    <w:rsid w:val="009022CB"/>
    <w:rsid w:val="009024AD"/>
    <w:rsid w:val="00902C97"/>
    <w:rsid w:val="00903277"/>
    <w:rsid w:val="00903588"/>
    <w:rsid w:val="00903B89"/>
    <w:rsid w:val="0090487E"/>
    <w:rsid w:val="00904E41"/>
    <w:rsid w:val="00906BCB"/>
    <w:rsid w:val="00910173"/>
    <w:rsid w:val="0091036C"/>
    <w:rsid w:val="0091138E"/>
    <w:rsid w:val="009116A0"/>
    <w:rsid w:val="00911AC9"/>
    <w:rsid w:val="00913EC8"/>
    <w:rsid w:val="009146F2"/>
    <w:rsid w:val="00916081"/>
    <w:rsid w:val="00916338"/>
    <w:rsid w:val="00917633"/>
    <w:rsid w:val="0091785B"/>
    <w:rsid w:val="00920F5A"/>
    <w:rsid w:val="009215FA"/>
    <w:rsid w:val="00924869"/>
    <w:rsid w:val="00924A9B"/>
    <w:rsid w:val="00925569"/>
    <w:rsid w:val="009255D1"/>
    <w:rsid w:val="00925E7B"/>
    <w:rsid w:val="00926713"/>
    <w:rsid w:val="00927107"/>
    <w:rsid w:val="00927F8D"/>
    <w:rsid w:val="00931AB0"/>
    <w:rsid w:val="00932EB9"/>
    <w:rsid w:val="009336A0"/>
    <w:rsid w:val="00933823"/>
    <w:rsid w:val="009343B6"/>
    <w:rsid w:val="0093556B"/>
    <w:rsid w:val="00936DE8"/>
    <w:rsid w:val="00937DC9"/>
    <w:rsid w:val="00940A98"/>
    <w:rsid w:val="00940E10"/>
    <w:rsid w:val="009413DB"/>
    <w:rsid w:val="009416D5"/>
    <w:rsid w:val="0094196C"/>
    <w:rsid w:val="00942923"/>
    <w:rsid w:val="00942CA5"/>
    <w:rsid w:val="00943277"/>
    <w:rsid w:val="009433C6"/>
    <w:rsid w:val="00943C09"/>
    <w:rsid w:val="00944620"/>
    <w:rsid w:val="00944731"/>
    <w:rsid w:val="00944763"/>
    <w:rsid w:val="00944930"/>
    <w:rsid w:val="009478EC"/>
    <w:rsid w:val="00947D4E"/>
    <w:rsid w:val="00951E5A"/>
    <w:rsid w:val="0095211A"/>
    <w:rsid w:val="00955705"/>
    <w:rsid w:val="00955DC4"/>
    <w:rsid w:val="00955E50"/>
    <w:rsid w:val="009563E6"/>
    <w:rsid w:val="00956963"/>
    <w:rsid w:val="00956D41"/>
    <w:rsid w:val="00960593"/>
    <w:rsid w:val="009612EF"/>
    <w:rsid w:val="00961405"/>
    <w:rsid w:val="009621BF"/>
    <w:rsid w:val="00962802"/>
    <w:rsid w:val="00963C12"/>
    <w:rsid w:val="00964D68"/>
    <w:rsid w:val="0096590D"/>
    <w:rsid w:val="009659A0"/>
    <w:rsid w:val="00966C43"/>
    <w:rsid w:val="009672F3"/>
    <w:rsid w:val="0097072E"/>
    <w:rsid w:val="009707E1"/>
    <w:rsid w:val="009709F9"/>
    <w:rsid w:val="00975876"/>
    <w:rsid w:val="00975AD8"/>
    <w:rsid w:val="009763DA"/>
    <w:rsid w:val="00976EEB"/>
    <w:rsid w:val="009807EE"/>
    <w:rsid w:val="00980826"/>
    <w:rsid w:val="00980AD2"/>
    <w:rsid w:val="00981028"/>
    <w:rsid w:val="00981E22"/>
    <w:rsid w:val="00981E9B"/>
    <w:rsid w:val="0098284B"/>
    <w:rsid w:val="0098407A"/>
    <w:rsid w:val="009840C2"/>
    <w:rsid w:val="00985A0E"/>
    <w:rsid w:val="00986928"/>
    <w:rsid w:val="00986D60"/>
    <w:rsid w:val="00987169"/>
    <w:rsid w:val="009871FD"/>
    <w:rsid w:val="00990024"/>
    <w:rsid w:val="00991179"/>
    <w:rsid w:val="00991F38"/>
    <w:rsid w:val="0099296B"/>
    <w:rsid w:val="00992F40"/>
    <w:rsid w:val="00994DD8"/>
    <w:rsid w:val="0099567D"/>
    <w:rsid w:val="009A0383"/>
    <w:rsid w:val="009A2CCF"/>
    <w:rsid w:val="009A2F9C"/>
    <w:rsid w:val="009A32E4"/>
    <w:rsid w:val="009A48D2"/>
    <w:rsid w:val="009B0293"/>
    <w:rsid w:val="009B0ABD"/>
    <w:rsid w:val="009B0E03"/>
    <w:rsid w:val="009B2191"/>
    <w:rsid w:val="009B21FF"/>
    <w:rsid w:val="009B3198"/>
    <w:rsid w:val="009B3F5F"/>
    <w:rsid w:val="009B58F9"/>
    <w:rsid w:val="009B613A"/>
    <w:rsid w:val="009B63E9"/>
    <w:rsid w:val="009B6596"/>
    <w:rsid w:val="009B709C"/>
    <w:rsid w:val="009C130A"/>
    <w:rsid w:val="009C1527"/>
    <w:rsid w:val="009C37B4"/>
    <w:rsid w:val="009C4305"/>
    <w:rsid w:val="009C587A"/>
    <w:rsid w:val="009C658E"/>
    <w:rsid w:val="009C7B89"/>
    <w:rsid w:val="009D053D"/>
    <w:rsid w:val="009D0ED0"/>
    <w:rsid w:val="009D1632"/>
    <w:rsid w:val="009D247D"/>
    <w:rsid w:val="009D5B5A"/>
    <w:rsid w:val="009D6D69"/>
    <w:rsid w:val="009D7F5D"/>
    <w:rsid w:val="009E07AC"/>
    <w:rsid w:val="009E2779"/>
    <w:rsid w:val="009E3F49"/>
    <w:rsid w:val="009E46DA"/>
    <w:rsid w:val="009E4A30"/>
    <w:rsid w:val="009E4BB0"/>
    <w:rsid w:val="009E4EEC"/>
    <w:rsid w:val="009E5552"/>
    <w:rsid w:val="009E5932"/>
    <w:rsid w:val="009E68C4"/>
    <w:rsid w:val="009F0C3C"/>
    <w:rsid w:val="009F16D0"/>
    <w:rsid w:val="009F1A7A"/>
    <w:rsid w:val="009F1CED"/>
    <w:rsid w:val="009F290B"/>
    <w:rsid w:val="009F328A"/>
    <w:rsid w:val="009F32DB"/>
    <w:rsid w:val="009F3350"/>
    <w:rsid w:val="009F357E"/>
    <w:rsid w:val="009F3969"/>
    <w:rsid w:val="009F55D4"/>
    <w:rsid w:val="009F688E"/>
    <w:rsid w:val="009F72BE"/>
    <w:rsid w:val="009F7809"/>
    <w:rsid w:val="00A0015A"/>
    <w:rsid w:val="00A00972"/>
    <w:rsid w:val="00A00DFC"/>
    <w:rsid w:val="00A0213D"/>
    <w:rsid w:val="00A0228C"/>
    <w:rsid w:val="00A02E0B"/>
    <w:rsid w:val="00A037B8"/>
    <w:rsid w:val="00A037E5"/>
    <w:rsid w:val="00A038D5"/>
    <w:rsid w:val="00A039B0"/>
    <w:rsid w:val="00A04701"/>
    <w:rsid w:val="00A04F2B"/>
    <w:rsid w:val="00A05499"/>
    <w:rsid w:val="00A06500"/>
    <w:rsid w:val="00A07180"/>
    <w:rsid w:val="00A071BA"/>
    <w:rsid w:val="00A0744B"/>
    <w:rsid w:val="00A07743"/>
    <w:rsid w:val="00A10786"/>
    <w:rsid w:val="00A10EB6"/>
    <w:rsid w:val="00A11633"/>
    <w:rsid w:val="00A12EFE"/>
    <w:rsid w:val="00A136B0"/>
    <w:rsid w:val="00A145E9"/>
    <w:rsid w:val="00A16279"/>
    <w:rsid w:val="00A17A64"/>
    <w:rsid w:val="00A17D4B"/>
    <w:rsid w:val="00A22950"/>
    <w:rsid w:val="00A24B19"/>
    <w:rsid w:val="00A252E1"/>
    <w:rsid w:val="00A25333"/>
    <w:rsid w:val="00A3074F"/>
    <w:rsid w:val="00A310D0"/>
    <w:rsid w:val="00A3223D"/>
    <w:rsid w:val="00A32547"/>
    <w:rsid w:val="00A339D1"/>
    <w:rsid w:val="00A34473"/>
    <w:rsid w:val="00A34951"/>
    <w:rsid w:val="00A34D78"/>
    <w:rsid w:val="00A3576F"/>
    <w:rsid w:val="00A357FD"/>
    <w:rsid w:val="00A35A24"/>
    <w:rsid w:val="00A35E06"/>
    <w:rsid w:val="00A35E5C"/>
    <w:rsid w:val="00A37109"/>
    <w:rsid w:val="00A378E2"/>
    <w:rsid w:val="00A4059C"/>
    <w:rsid w:val="00A47B85"/>
    <w:rsid w:val="00A5038D"/>
    <w:rsid w:val="00A50B73"/>
    <w:rsid w:val="00A514FA"/>
    <w:rsid w:val="00A53A06"/>
    <w:rsid w:val="00A54337"/>
    <w:rsid w:val="00A54C21"/>
    <w:rsid w:val="00A54FA5"/>
    <w:rsid w:val="00A5555E"/>
    <w:rsid w:val="00A62FF8"/>
    <w:rsid w:val="00A63ECC"/>
    <w:rsid w:val="00A672E3"/>
    <w:rsid w:val="00A677EC"/>
    <w:rsid w:val="00A7386F"/>
    <w:rsid w:val="00A75404"/>
    <w:rsid w:val="00A759D8"/>
    <w:rsid w:val="00A77487"/>
    <w:rsid w:val="00A82014"/>
    <w:rsid w:val="00A82480"/>
    <w:rsid w:val="00A837BA"/>
    <w:rsid w:val="00A852B9"/>
    <w:rsid w:val="00A8549E"/>
    <w:rsid w:val="00A85C7D"/>
    <w:rsid w:val="00A87E96"/>
    <w:rsid w:val="00A92062"/>
    <w:rsid w:val="00A92EEF"/>
    <w:rsid w:val="00A93A1A"/>
    <w:rsid w:val="00A940C6"/>
    <w:rsid w:val="00A94234"/>
    <w:rsid w:val="00A95720"/>
    <w:rsid w:val="00A95A78"/>
    <w:rsid w:val="00A96903"/>
    <w:rsid w:val="00A96AAE"/>
    <w:rsid w:val="00A9765B"/>
    <w:rsid w:val="00A97F07"/>
    <w:rsid w:val="00AA0E20"/>
    <w:rsid w:val="00AA3AA3"/>
    <w:rsid w:val="00AA428C"/>
    <w:rsid w:val="00AA554C"/>
    <w:rsid w:val="00AB05BB"/>
    <w:rsid w:val="00AB0E67"/>
    <w:rsid w:val="00AB12A2"/>
    <w:rsid w:val="00AB2270"/>
    <w:rsid w:val="00AB2BFC"/>
    <w:rsid w:val="00AB3AFD"/>
    <w:rsid w:val="00AB4ADF"/>
    <w:rsid w:val="00AB665D"/>
    <w:rsid w:val="00AB68E9"/>
    <w:rsid w:val="00AB72CF"/>
    <w:rsid w:val="00AB735D"/>
    <w:rsid w:val="00AB7388"/>
    <w:rsid w:val="00AB751C"/>
    <w:rsid w:val="00AB7B04"/>
    <w:rsid w:val="00AC0244"/>
    <w:rsid w:val="00AC05AF"/>
    <w:rsid w:val="00AC08E6"/>
    <w:rsid w:val="00AC18C1"/>
    <w:rsid w:val="00AC28B4"/>
    <w:rsid w:val="00AC2C86"/>
    <w:rsid w:val="00AC3018"/>
    <w:rsid w:val="00AC3336"/>
    <w:rsid w:val="00AC33CE"/>
    <w:rsid w:val="00AC3C7A"/>
    <w:rsid w:val="00AC70B8"/>
    <w:rsid w:val="00AC7BCB"/>
    <w:rsid w:val="00AD05FF"/>
    <w:rsid w:val="00AD1A61"/>
    <w:rsid w:val="00AD3C28"/>
    <w:rsid w:val="00AD6654"/>
    <w:rsid w:val="00AD68C9"/>
    <w:rsid w:val="00AE0EEB"/>
    <w:rsid w:val="00AE0FAD"/>
    <w:rsid w:val="00AE36EA"/>
    <w:rsid w:val="00AE3E29"/>
    <w:rsid w:val="00AE43F9"/>
    <w:rsid w:val="00AE4C9A"/>
    <w:rsid w:val="00AE558F"/>
    <w:rsid w:val="00AE656C"/>
    <w:rsid w:val="00AE7BB6"/>
    <w:rsid w:val="00AF2159"/>
    <w:rsid w:val="00AF23B1"/>
    <w:rsid w:val="00AF3BCF"/>
    <w:rsid w:val="00AF416B"/>
    <w:rsid w:val="00AF505A"/>
    <w:rsid w:val="00AF5321"/>
    <w:rsid w:val="00AF5BA2"/>
    <w:rsid w:val="00AF68A1"/>
    <w:rsid w:val="00AF6C5F"/>
    <w:rsid w:val="00AF7B1A"/>
    <w:rsid w:val="00AF7B3A"/>
    <w:rsid w:val="00B02CDD"/>
    <w:rsid w:val="00B054F4"/>
    <w:rsid w:val="00B05805"/>
    <w:rsid w:val="00B05B13"/>
    <w:rsid w:val="00B07EA2"/>
    <w:rsid w:val="00B104E7"/>
    <w:rsid w:val="00B11E4A"/>
    <w:rsid w:val="00B12279"/>
    <w:rsid w:val="00B12709"/>
    <w:rsid w:val="00B137A6"/>
    <w:rsid w:val="00B14DFC"/>
    <w:rsid w:val="00B1589A"/>
    <w:rsid w:val="00B20E1D"/>
    <w:rsid w:val="00B210F9"/>
    <w:rsid w:val="00B24922"/>
    <w:rsid w:val="00B24B4D"/>
    <w:rsid w:val="00B24CD2"/>
    <w:rsid w:val="00B25F26"/>
    <w:rsid w:val="00B26090"/>
    <w:rsid w:val="00B26C07"/>
    <w:rsid w:val="00B304D6"/>
    <w:rsid w:val="00B339A2"/>
    <w:rsid w:val="00B364E1"/>
    <w:rsid w:val="00B36523"/>
    <w:rsid w:val="00B36FA1"/>
    <w:rsid w:val="00B3702A"/>
    <w:rsid w:val="00B373C6"/>
    <w:rsid w:val="00B37495"/>
    <w:rsid w:val="00B41BD8"/>
    <w:rsid w:val="00B42011"/>
    <w:rsid w:val="00B4248E"/>
    <w:rsid w:val="00B424E1"/>
    <w:rsid w:val="00B42D38"/>
    <w:rsid w:val="00B433C5"/>
    <w:rsid w:val="00B43CA1"/>
    <w:rsid w:val="00B45488"/>
    <w:rsid w:val="00B45C84"/>
    <w:rsid w:val="00B45FC5"/>
    <w:rsid w:val="00B477C1"/>
    <w:rsid w:val="00B502DC"/>
    <w:rsid w:val="00B509A9"/>
    <w:rsid w:val="00B50B9C"/>
    <w:rsid w:val="00B51B43"/>
    <w:rsid w:val="00B5201D"/>
    <w:rsid w:val="00B52FB4"/>
    <w:rsid w:val="00B54029"/>
    <w:rsid w:val="00B544E0"/>
    <w:rsid w:val="00B56DC9"/>
    <w:rsid w:val="00B6038D"/>
    <w:rsid w:val="00B6101B"/>
    <w:rsid w:val="00B6183A"/>
    <w:rsid w:val="00B63DC2"/>
    <w:rsid w:val="00B63E54"/>
    <w:rsid w:val="00B63F28"/>
    <w:rsid w:val="00B64701"/>
    <w:rsid w:val="00B650C7"/>
    <w:rsid w:val="00B65D71"/>
    <w:rsid w:val="00B66188"/>
    <w:rsid w:val="00B6640B"/>
    <w:rsid w:val="00B67DE6"/>
    <w:rsid w:val="00B67E5E"/>
    <w:rsid w:val="00B67F0A"/>
    <w:rsid w:val="00B70C7C"/>
    <w:rsid w:val="00B70FE9"/>
    <w:rsid w:val="00B71E9F"/>
    <w:rsid w:val="00B72088"/>
    <w:rsid w:val="00B72640"/>
    <w:rsid w:val="00B73C61"/>
    <w:rsid w:val="00B73CBA"/>
    <w:rsid w:val="00B749A6"/>
    <w:rsid w:val="00B74A52"/>
    <w:rsid w:val="00B74DDF"/>
    <w:rsid w:val="00B74E3B"/>
    <w:rsid w:val="00B75CFF"/>
    <w:rsid w:val="00B76A87"/>
    <w:rsid w:val="00B76D3B"/>
    <w:rsid w:val="00B77583"/>
    <w:rsid w:val="00B810AC"/>
    <w:rsid w:val="00B810B0"/>
    <w:rsid w:val="00B83A85"/>
    <w:rsid w:val="00B83D09"/>
    <w:rsid w:val="00B84970"/>
    <w:rsid w:val="00B871EA"/>
    <w:rsid w:val="00B901E3"/>
    <w:rsid w:val="00B904E2"/>
    <w:rsid w:val="00B908E4"/>
    <w:rsid w:val="00B90B2C"/>
    <w:rsid w:val="00B9173F"/>
    <w:rsid w:val="00B9367F"/>
    <w:rsid w:val="00B96EA9"/>
    <w:rsid w:val="00B97457"/>
    <w:rsid w:val="00BA0275"/>
    <w:rsid w:val="00BA19A1"/>
    <w:rsid w:val="00BA1FCA"/>
    <w:rsid w:val="00BA2A49"/>
    <w:rsid w:val="00BA5BE2"/>
    <w:rsid w:val="00BA5DB1"/>
    <w:rsid w:val="00BA73AD"/>
    <w:rsid w:val="00BB14FA"/>
    <w:rsid w:val="00BB1601"/>
    <w:rsid w:val="00BB1AF5"/>
    <w:rsid w:val="00BB3A43"/>
    <w:rsid w:val="00BB3AAB"/>
    <w:rsid w:val="00BB40A7"/>
    <w:rsid w:val="00BB50B9"/>
    <w:rsid w:val="00BB61E7"/>
    <w:rsid w:val="00BC0255"/>
    <w:rsid w:val="00BC0B3C"/>
    <w:rsid w:val="00BC0FA4"/>
    <w:rsid w:val="00BC15D1"/>
    <w:rsid w:val="00BC1A86"/>
    <w:rsid w:val="00BC2100"/>
    <w:rsid w:val="00BC2287"/>
    <w:rsid w:val="00BC3528"/>
    <w:rsid w:val="00BC391F"/>
    <w:rsid w:val="00BC3F7F"/>
    <w:rsid w:val="00BC476A"/>
    <w:rsid w:val="00BC535B"/>
    <w:rsid w:val="00BC6A28"/>
    <w:rsid w:val="00BC729B"/>
    <w:rsid w:val="00BC76B5"/>
    <w:rsid w:val="00BD0793"/>
    <w:rsid w:val="00BD0844"/>
    <w:rsid w:val="00BD1029"/>
    <w:rsid w:val="00BD1043"/>
    <w:rsid w:val="00BD1A9A"/>
    <w:rsid w:val="00BD2A70"/>
    <w:rsid w:val="00BD3F3D"/>
    <w:rsid w:val="00BD5706"/>
    <w:rsid w:val="00BD583B"/>
    <w:rsid w:val="00BD5E46"/>
    <w:rsid w:val="00BD6BA9"/>
    <w:rsid w:val="00BD7B53"/>
    <w:rsid w:val="00BD7D43"/>
    <w:rsid w:val="00BE2AAF"/>
    <w:rsid w:val="00BE398C"/>
    <w:rsid w:val="00BE3DA1"/>
    <w:rsid w:val="00BE4974"/>
    <w:rsid w:val="00BE4EF9"/>
    <w:rsid w:val="00BE55A8"/>
    <w:rsid w:val="00BE5E59"/>
    <w:rsid w:val="00BE6DF9"/>
    <w:rsid w:val="00BE77A2"/>
    <w:rsid w:val="00BE7DDC"/>
    <w:rsid w:val="00BE7F52"/>
    <w:rsid w:val="00BF044B"/>
    <w:rsid w:val="00BF088C"/>
    <w:rsid w:val="00BF0FEB"/>
    <w:rsid w:val="00BF1DB0"/>
    <w:rsid w:val="00BF1EE9"/>
    <w:rsid w:val="00BF46B8"/>
    <w:rsid w:val="00BF6F02"/>
    <w:rsid w:val="00BF7695"/>
    <w:rsid w:val="00BF7AC2"/>
    <w:rsid w:val="00C00120"/>
    <w:rsid w:val="00C0038D"/>
    <w:rsid w:val="00C01A0E"/>
    <w:rsid w:val="00C01E33"/>
    <w:rsid w:val="00C02165"/>
    <w:rsid w:val="00C026E9"/>
    <w:rsid w:val="00C03C8D"/>
    <w:rsid w:val="00C0589E"/>
    <w:rsid w:val="00C05CDF"/>
    <w:rsid w:val="00C11634"/>
    <w:rsid w:val="00C1296A"/>
    <w:rsid w:val="00C138F9"/>
    <w:rsid w:val="00C141E9"/>
    <w:rsid w:val="00C14361"/>
    <w:rsid w:val="00C14E2E"/>
    <w:rsid w:val="00C17305"/>
    <w:rsid w:val="00C20A9C"/>
    <w:rsid w:val="00C2169E"/>
    <w:rsid w:val="00C23C2C"/>
    <w:rsid w:val="00C26221"/>
    <w:rsid w:val="00C26990"/>
    <w:rsid w:val="00C26F4B"/>
    <w:rsid w:val="00C27507"/>
    <w:rsid w:val="00C31848"/>
    <w:rsid w:val="00C31EB5"/>
    <w:rsid w:val="00C32B2E"/>
    <w:rsid w:val="00C33A22"/>
    <w:rsid w:val="00C3424F"/>
    <w:rsid w:val="00C353EE"/>
    <w:rsid w:val="00C36108"/>
    <w:rsid w:val="00C361E0"/>
    <w:rsid w:val="00C37973"/>
    <w:rsid w:val="00C4037A"/>
    <w:rsid w:val="00C40468"/>
    <w:rsid w:val="00C4246E"/>
    <w:rsid w:val="00C45286"/>
    <w:rsid w:val="00C45CF1"/>
    <w:rsid w:val="00C46431"/>
    <w:rsid w:val="00C47772"/>
    <w:rsid w:val="00C50E7B"/>
    <w:rsid w:val="00C52309"/>
    <w:rsid w:val="00C52864"/>
    <w:rsid w:val="00C536D9"/>
    <w:rsid w:val="00C5431D"/>
    <w:rsid w:val="00C54B85"/>
    <w:rsid w:val="00C555E7"/>
    <w:rsid w:val="00C5631E"/>
    <w:rsid w:val="00C5639E"/>
    <w:rsid w:val="00C56B50"/>
    <w:rsid w:val="00C57093"/>
    <w:rsid w:val="00C57C0D"/>
    <w:rsid w:val="00C57D4C"/>
    <w:rsid w:val="00C57F55"/>
    <w:rsid w:val="00C60A06"/>
    <w:rsid w:val="00C6115C"/>
    <w:rsid w:val="00C61D84"/>
    <w:rsid w:val="00C629A2"/>
    <w:rsid w:val="00C63B3E"/>
    <w:rsid w:val="00C63B64"/>
    <w:rsid w:val="00C63B92"/>
    <w:rsid w:val="00C6428E"/>
    <w:rsid w:val="00C6556E"/>
    <w:rsid w:val="00C65E3C"/>
    <w:rsid w:val="00C6623C"/>
    <w:rsid w:val="00C67531"/>
    <w:rsid w:val="00C67718"/>
    <w:rsid w:val="00C67C12"/>
    <w:rsid w:val="00C70A7B"/>
    <w:rsid w:val="00C72AF1"/>
    <w:rsid w:val="00C72B49"/>
    <w:rsid w:val="00C738EC"/>
    <w:rsid w:val="00C740FD"/>
    <w:rsid w:val="00C7479F"/>
    <w:rsid w:val="00C7613B"/>
    <w:rsid w:val="00C76C89"/>
    <w:rsid w:val="00C77D5B"/>
    <w:rsid w:val="00C77ED4"/>
    <w:rsid w:val="00C81622"/>
    <w:rsid w:val="00C818A1"/>
    <w:rsid w:val="00C825D7"/>
    <w:rsid w:val="00C82CE5"/>
    <w:rsid w:val="00C83512"/>
    <w:rsid w:val="00C84424"/>
    <w:rsid w:val="00C84431"/>
    <w:rsid w:val="00C847FE"/>
    <w:rsid w:val="00C85432"/>
    <w:rsid w:val="00C8560B"/>
    <w:rsid w:val="00C87359"/>
    <w:rsid w:val="00C91F36"/>
    <w:rsid w:val="00C93535"/>
    <w:rsid w:val="00C93A29"/>
    <w:rsid w:val="00C93DF4"/>
    <w:rsid w:val="00C94700"/>
    <w:rsid w:val="00C96711"/>
    <w:rsid w:val="00C9672F"/>
    <w:rsid w:val="00C96C7D"/>
    <w:rsid w:val="00C9709E"/>
    <w:rsid w:val="00CA05C1"/>
    <w:rsid w:val="00CA0F2B"/>
    <w:rsid w:val="00CA1007"/>
    <w:rsid w:val="00CA2E98"/>
    <w:rsid w:val="00CA4485"/>
    <w:rsid w:val="00CA4D93"/>
    <w:rsid w:val="00CA575E"/>
    <w:rsid w:val="00CA687C"/>
    <w:rsid w:val="00CA6F40"/>
    <w:rsid w:val="00CB0E68"/>
    <w:rsid w:val="00CB3270"/>
    <w:rsid w:val="00CB364A"/>
    <w:rsid w:val="00CB36EC"/>
    <w:rsid w:val="00CB39F1"/>
    <w:rsid w:val="00CB421D"/>
    <w:rsid w:val="00CB5207"/>
    <w:rsid w:val="00CB5A27"/>
    <w:rsid w:val="00CB5DBC"/>
    <w:rsid w:val="00CB73EF"/>
    <w:rsid w:val="00CC362F"/>
    <w:rsid w:val="00CC4649"/>
    <w:rsid w:val="00CC597D"/>
    <w:rsid w:val="00CC5C43"/>
    <w:rsid w:val="00CC5D40"/>
    <w:rsid w:val="00CC61F2"/>
    <w:rsid w:val="00CC6328"/>
    <w:rsid w:val="00CC669D"/>
    <w:rsid w:val="00CC6AAE"/>
    <w:rsid w:val="00CD02B1"/>
    <w:rsid w:val="00CD039E"/>
    <w:rsid w:val="00CD06F9"/>
    <w:rsid w:val="00CD0C3F"/>
    <w:rsid w:val="00CD1B83"/>
    <w:rsid w:val="00CD2987"/>
    <w:rsid w:val="00CD3FA1"/>
    <w:rsid w:val="00CD533F"/>
    <w:rsid w:val="00CD53E4"/>
    <w:rsid w:val="00CD62B9"/>
    <w:rsid w:val="00CD64F3"/>
    <w:rsid w:val="00CE143A"/>
    <w:rsid w:val="00CE1B5B"/>
    <w:rsid w:val="00CE203E"/>
    <w:rsid w:val="00CE3F29"/>
    <w:rsid w:val="00CE6A69"/>
    <w:rsid w:val="00CE6F55"/>
    <w:rsid w:val="00CE7A73"/>
    <w:rsid w:val="00CE7B17"/>
    <w:rsid w:val="00CF13C4"/>
    <w:rsid w:val="00CF2755"/>
    <w:rsid w:val="00CF316C"/>
    <w:rsid w:val="00CF3A2F"/>
    <w:rsid w:val="00CF42B8"/>
    <w:rsid w:val="00CF58F7"/>
    <w:rsid w:val="00CF5F88"/>
    <w:rsid w:val="00D006C9"/>
    <w:rsid w:val="00D02F27"/>
    <w:rsid w:val="00D0508B"/>
    <w:rsid w:val="00D05C49"/>
    <w:rsid w:val="00D060C5"/>
    <w:rsid w:val="00D1059F"/>
    <w:rsid w:val="00D12CDB"/>
    <w:rsid w:val="00D1319E"/>
    <w:rsid w:val="00D14003"/>
    <w:rsid w:val="00D14969"/>
    <w:rsid w:val="00D14C18"/>
    <w:rsid w:val="00D16440"/>
    <w:rsid w:val="00D1675C"/>
    <w:rsid w:val="00D16D7F"/>
    <w:rsid w:val="00D17064"/>
    <w:rsid w:val="00D22245"/>
    <w:rsid w:val="00D2225F"/>
    <w:rsid w:val="00D22566"/>
    <w:rsid w:val="00D22719"/>
    <w:rsid w:val="00D22DBE"/>
    <w:rsid w:val="00D23529"/>
    <w:rsid w:val="00D2381A"/>
    <w:rsid w:val="00D246D1"/>
    <w:rsid w:val="00D24959"/>
    <w:rsid w:val="00D24972"/>
    <w:rsid w:val="00D24D15"/>
    <w:rsid w:val="00D255E1"/>
    <w:rsid w:val="00D26788"/>
    <w:rsid w:val="00D27B3A"/>
    <w:rsid w:val="00D30773"/>
    <w:rsid w:val="00D31021"/>
    <w:rsid w:val="00D316CB"/>
    <w:rsid w:val="00D32F87"/>
    <w:rsid w:val="00D33A3E"/>
    <w:rsid w:val="00D34013"/>
    <w:rsid w:val="00D3534F"/>
    <w:rsid w:val="00D3624C"/>
    <w:rsid w:val="00D369A9"/>
    <w:rsid w:val="00D40440"/>
    <w:rsid w:val="00D4179C"/>
    <w:rsid w:val="00D423B8"/>
    <w:rsid w:val="00D42961"/>
    <w:rsid w:val="00D42963"/>
    <w:rsid w:val="00D432E0"/>
    <w:rsid w:val="00D4399D"/>
    <w:rsid w:val="00D43FB4"/>
    <w:rsid w:val="00D44128"/>
    <w:rsid w:val="00D448A2"/>
    <w:rsid w:val="00D46369"/>
    <w:rsid w:val="00D50B73"/>
    <w:rsid w:val="00D50E3D"/>
    <w:rsid w:val="00D54826"/>
    <w:rsid w:val="00D54C78"/>
    <w:rsid w:val="00D567D6"/>
    <w:rsid w:val="00D57B86"/>
    <w:rsid w:val="00D609B5"/>
    <w:rsid w:val="00D61574"/>
    <w:rsid w:val="00D61CA0"/>
    <w:rsid w:val="00D62417"/>
    <w:rsid w:val="00D62574"/>
    <w:rsid w:val="00D633C7"/>
    <w:rsid w:val="00D6484A"/>
    <w:rsid w:val="00D64F8C"/>
    <w:rsid w:val="00D651E7"/>
    <w:rsid w:val="00D70024"/>
    <w:rsid w:val="00D70A23"/>
    <w:rsid w:val="00D71158"/>
    <w:rsid w:val="00D721AA"/>
    <w:rsid w:val="00D729B6"/>
    <w:rsid w:val="00D74A49"/>
    <w:rsid w:val="00D75382"/>
    <w:rsid w:val="00D76902"/>
    <w:rsid w:val="00D76F27"/>
    <w:rsid w:val="00D77818"/>
    <w:rsid w:val="00D7781A"/>
    <w:rsid w:val="00D80007"/>
    <w:rsid w:val="00D800BF"/>
    <w:rsid w:val="00D801AC"/>
    <w:rsid w:val="00D80BB5"/>
    <w:rsid w:val="00D80D1A"/>
    <w:rsid w:val="00D81BED"/>
    <w:rsid w:val="00D8241E"/>
    <w:rsid w:val="00D82F74"/>
    <w:rsid w:val="00D8428F"/>
    <w:rsid w:val="00D84E64"/>
    <w:rsid w:val="00D85C2E"/>
    <w:rsid w:val="00D85DF1"/>
    <w:rsid w:val="00D90DF0"/>
    <w:rsid w:val="00D92075"/>
    <w:rsid w:val="00D9438F"/>
    <w:rsid w:val="00D964AE"/>
    <w:rsid w:val="00D9695F"/>
    <w:rsid w:val="00D96FE7"/>
    <w:rsid w:val="00DA041F"/>
    <w:rsid w:val="00DA112E"/>
    <w:rsid w:val="00DA33C8"/>
    <w:rsid w:val="00DA5618"/>
    <w:rsid w:val="00DA6F2B"/>
    <w:rsid w:val="00DB00E1"/>
    <w:rsid w:val="00DB05B4"/>
    <w:rsid w:val="00DB1489"/>
    <w:rsid w:val="00DB1679"/>
    <w:rsid w:val="00DB276F"/>
    <w:rsid w:val="00DB320D"/>
    <w:rsid w:val="00DB46FF"/>
    <w:rsid w:val="00DB53C1"/>
    <w:rsid w:val="00DB578F"/>
    <w:rsid w:val="00DB59E7"/>
    <w:rsid w:val="00DB667E"/>
    <w:rsid w:val="00DB6A2A"/>
    <w:rsid w:val="00DB6A8A"/>
    <w:rsid w:val="00DB764A"/>
    <w:rsid w:val="00DC01B8"/>
    <w:rsid w:val="00DC0204"/>
    <w:rsid w:val="00DC096F"/>
    <w:rsid w:val="00DC2C81"/>
    <w:rsid w:val="00DC4F57"/>
    <w:rsid w:val="00DC561E"/>
    <w:rsid w:val="00DC6956"/>
    <w:rsid w:val="00DC78C9"/>
    <w:rsid w:val="00DD0D1E"/>
    <w:rsid w:val="00DD1448"/>
    <w:rsid w:val="00DD1BA0"/>
    <w:rsid w:val="00DD25B1"/>
    <w:rsid w:val="00DD2A88"/>
    <w:rsid w:val="00DD33E8"/>
    <w:rsid w:val="00DD34B7"/>
    <w:rsid w:val="00DD6119"/>
    <w:rsid w:val="00DD7E27"/>
    <w:rsid w:val="00DE0746"/>
    <w:rsid w:val="00DE0941"/>
    <w:rsid w:val="00DE1296"/>
    <w:rsid w:val="00DE2909"/>
    <w:rsid w:val="00DE4CA8"/>
    <w:rsid w:val="00DE4DF1"/>
    <w:rsid w:val="00DE675C"/>
    <w:rsid w:val="00DE6BD4"/>
    <w:rsid w:val="00DE7802"/>
    <w:rsid w:val="00DE799D"/>
    <w:rsid w:val="00DF011C"/>
    <w:rsid w:val="00DF0440"/>
    <w:rsid w:val="00DF0624"/>
    <w:rsid w:val="00DF09DB"/>
    <w:rsid w:val="00DF1142"/>
    <w:rsid w:val="00DF158F"/>
    <w:rsid w:val="00DF16D4"/>
    <w:rsid w:val="00DF2FA4"/>
    <w:rsid w:val="00DF4871"/>
    <w:rsid w:val="00DF5F07"/>
    <w:rsid w:val="00DF7CD6"/>
    <w:rsid w:val="00DF7E55"/>
    <w:rsid w:val="00E001C8"/>
    <w:rsid w:val="00E00749"/>
    <w:rsid w:val="00E010FC"/>
    <w:rsid w:val="00E01969"/>
    <w:rsid w:val="00E01D73"/>
    <w:rsid w:val="00E0203A"/>
    <w:rsid w:val="00E04137"/>
    <w:rsid w:val="00E05D2A"/>
    <w:rsid w:val="00E05E11"/>
    <w:rsid w:val="00E05E48"/>
    <w:rsid w:val="00E102EA"/>
    <w:rsid w:val="00E104EC"/>
    <w:rsid w:val="00E11DE7"/>
    <w:rsid w:val="00E12C02"/>
    <w:rsid w:val="00E12D8A"/>
    <w:rsid w:val="00E13019"/>
    <w:rsid w:val="00E1433D"/>
    <w:rsid w:val="00E143B0"/>
    <w:rsid w:val="00E14ECC"/>
    <w:rsid w:val="00E14F3C"/>
    <w:rsid w:val="00E156D1"/>
    <w:rsid w:val="00E22532"/>
    <w:rsid w:val="00E2326C"/>
    <w:rsid w:val="00E24DCF"/>
    <w:rsid w:val="00E25944"/>
    <w:rsid w:val="00E25B94"/>
    <w:rsid w:val="00E26279"/>
    <w:rsid w:val="00E262C1"/>
    <w:rsid w:val="00E26570"/>
    <w:rsid w:val="00E272A4"/>
    <w:rsid w:val="00E303F1"/>
    <w:rsid w:val="00E3041E"/>
    <w:rsid w:val="00E30740"/>
    <w:rsid w:val="00E30DBA"/>
    <w:rsid w:val="00E337FD"/>
    <w:rsid w:val="00E35CB7"/>
    <w:rsid w:val="00E37489"/>
    <w:rsid w:val="00E37DF2"/>
    <w:rsid w:val="00E40381"/>
    <w:rsid w:val="00E40BAA"/>
    <w:rsid w:val="00E4107B"/>
    <w:rsid w:val="00E41122"/>
    <w:rsid w:val="00E41DF0"/>
    <w:rsid w:val="00E421C6"/>
    <w:rsid w:val="00E43C1E"/>
    <w:rsid w:val="00E4471E"/>
    <w:rsid w:val="00E44726"/>
    <w:rsid w:val="00E46F8C"/>
    <w:rsid w:val="00E47A0E"/>
    <w:rsid w:val="00E47EF9"/>
    <w:rsid w:val="00E502B5"/>
    <w:rsid w:val="00E50D64"/>
    <w:rsid w:val="00E50D79"/>
    <w:rsid w:val="00E511A5"/>
    <w:rsid w:val="00E517A7"/>
    <w:rsid w:val="00E54DE5"/>
    <w:rsid w:val="00E5533A"/>
    <w:rsid w:val="00E56DFE"/>
    <w:rsid w:val="00E5787C"/>
    <w:rsid w:val="00E57F58"/>
    <w:rsid w:val="00E6123F"/>
    <w:rsid w:val="00E62115"/>
    <w:rsid w:val="00E62D97"/>
    <w:rsid w:val="00E6470D"/>
    <w:rsid w:val="00E663BB"/>
    <w:rsid w:val="00E673CF"/>
    <w:rsid w:val="00E713A6"/>
    <w:rsid w:val="00E71B75"/>
    <w:rsid w:val="00E72B23"/>
    <w:rsid w:val="00E741E9"/>
    <w:rsid w:val="00E74520"/>
    <w:rsid w:val="00E746EB"/>
    <w:rsid w:val="00E74FB6"/>
    <w:rsid w:val="00E7638B"/>
    <w:rsid w:val="00E76CAF"/>
    <w:rsid w:val="00E81082"/>
    <w:rsid w:val="00E829A0"/>
    <w:rsid w:val="00E83855"/>
    <w:rsid w:val="00E864B2"/>
    <w:rsid w:val="00E866C5"/>
    <w:rsid w:val="00E87888"/>
    <w:rsid w:val="00E911D6"/>
    <w:rsid w:val="00E923BD"/>
    <w:rsid w:val="00E94677"/>
    <w:rsid w:val="00E95199"/>
    <w:rsid w:val="00E954A2"/>
    <w:rsid w:val="00E956D7"/>
    <w:rsid w:val="00E97691"/>
    <w:rsid w:val="00E977E9"/>
    <w:rsid w:val="00EA14CB"/>
    <w:rsid w:val="00EA1634"/>
    <w:rsid w:val="00EA203F"/>
    <w:rsid w:val="00EA207A"/>
    <w:rsid w:val="00EA235B"/>
    <w:rsid w:val="00EA2593"/>
    <w:rsid w:val="00EA2EE9"/>
    <w:rsid w:val="00EA392C"/>
    <w:rsid w:val="00EA404D"/>
    <w:rsid w:val="00EA40C1"/>
    <w:rsid w:val="00EA4B19"/>
    <w:rsid w:val="00EA4C6A"/>
    <w:rsid w:val="00EA5BD4"/>
    <w:rsid w:val="00EA7C71"/>
    <w:rsid w:val="00EA7D80"/>
    <w:rsid w:val="00EB0F5B"/>
    <w:rsid w:val="00EB1095"/>
    <w:rsid w:val="00EB205F"/>
    <w:rsid w:val="00EB2413"/>
    <w:rsid w:val="00EB31E9"/>
    <w:rsid w:val="00EB3675"/>
    <w:rsid w:val="00EB3B80"/>
    <w:rsid w:val="00EB3EEC"/>
    <w:rsid w:val="00EB4603"/>
    <w:rsid w:val="00EB4846"/>
    <w:rsid w:val="00EB4FA7"/>
    <w:rsid w:val="00EB519E"/>
    <w:rsid w:val="00EB76C4"/>
    <w:rsid w:val="00EB7AE7"/>
    <w:rsid w:val="00EC0181"/>
    <w:rsid w:val="00EC0182"/>
    <w:rsid w:val="00EC1F68"/>
    <w:rsid w:val="00EC3587"/>
    <w:rsid w:val="00EC4E5B"/>
    <w:rsid w:val="00EC5FAE"/>
    <w:rsid w:val="00EC7ECB"/>
    <w:rsid w:val="00ED1EF8"/>
    <w:rsid w:val="00ED20B7"/>
    <w:rsid w:val="00ED2199"/>
    <w:rsid w:val="00ED389F"/>
    <w:rsid w:val="00ED3926"/>
    <w:rsid w:val="00ED3B85"/>
    <w:rsid w:val="00ED56F4"/>
    <w:rsid w:val="00ED5B6C"/>
    <w:rsid w:val="00ED6A3B"/>
    <w:rsid w:val="00ED6E5C"/>
    <w:rsid w:val="00ED75DD"/>
    <w:rsid w:val="00EE07D5"/>
    <w:rsid w:val="00EE11F3"/>
    <w:rsid w:val="00EE1AAB"/>
    <w:rsid w:val="00EE2095"/>
    <w:rsid w:val="00EE2C8A"/>
    <w:rsid w:val="00EE38C3"/>
    <w:rsid w:val="00EE38E4"/>
    <w:rsid w:val="00EE3F3A"/>
    <w:rsid w:val="00EE43DF"/>
    <w:rsid w:val="00EE6E31"/>
    <w:rsid w:val="00EE739C"/>
    <w:rsid w:val="00EE772F"/>
    <w:rsid w:val="00EF0553"/>
    <w:rsid w:val="00EF13E4"/>
    <w:rsid w:val="00EF1770"/>
    <w:rsid w:val="00EF2A26"/>
    <w:rsid w:val="00EF4C3F"/>
    <w:rsid w:val="00EF5370"/>
    <w:rsid w:val="00EF5D58"/>
    <w:rsid w:val="00EF6D4E"/>
    <w:rsid w:val="00EF7CD9"/>
    <w:rsid w:val="00F007F9"/>
    <w:rsid w:val="00F00C0D"/>
    <w:rsid w:val="00F00DB5"/>
    <w:rsid w:val="00F015FF"/>
    <w:rsid w:val="00F02B0C"/>
    <w:rsid w:val="00F044C2"/>
    <w:rsid w:val="00F05252"/>
    <w:rsid w:val="00F05569"/>
    <w:rsid w:val="00F05BF1"/>
    <w:rsid w:val="00F05D9A"/>
    <w:rsid w:val="00F05DCB"/>
    <w:rsid w:val="00F0743C"/>
    <w:rsid w:val="00F102FC"/>
    <w:rsid w:val="00F10BEC"/>
    <w:rsid w:val="00F112D7"/>
    <w:rsid w:val="00F1214F"/>
    <w:rsid w:val="00F12C46"/>
    <w:rsid w:val="00F12F3C"/>
    <w:rsid w:val="00F143A3"/>
    <w:rsid w:val="00F14A44"/>
    <w:rsid w:val="00F16600"/>
    <w:rsid w:val="00F1698A"/>
    <w:rsid w:val="00F1725B"/>
    <w:rsid w:val="00F17377"/>
    <w:rsid w:val="00F17BC6"/>
    <w:rsid w:val="00F21384"/>
    <w:rsid w:val="00F21C7F"/>
    <w:rsid w:val="00F2207F"/>
    <w:rsid w:val="00F234B5"/>
    <w:rsid w:val="00F259D3"/>
    <w:rsid w:val="00F27607"/>
    <w:rsid w:val="00F30207"/>
    <w:rsid w:val="00F31432"/>
    <w:rsid w:val="00F31E0B"/>
    <w:rsid w:val="00F326D0"/>
    <w:rsid w:val="00F3447F"/>
    <w:rsid w:val="00F3457A"/>
    <w:rsid w:val="00F352DB"/>
    <w:rsid w:val="00F3659A"/>
    <w:rsid w:val="00F36C89"/>
    <w:rsid w:val="00F373C6"/>
    <w:rsid w:val="00F37495"/>
    <w:rsid w:val="00F37644"/>
    <w:rsid w:val="00F37923"/>
    <w:rsid w:val="00F40886"/>
    <w:rsid w:val="00F4192D"/>
    <w:rsid w:val="00F41AEE"/>
    <w:rsid w:val="00F42047"/>
    <w:rsid w:val="00F4244C"/>
    <w:rsid w:val="00F42683"/>
    <w:rsid w:val="00F43A3F"/>
    <w:rsid w:val="00F442A9"/>
    <w:rsid w:val="00F45568"/>
    <w:rsid w:val="00F461F4"/>
    <w:rsid w:val="00F513CE"/>
    <w:rsid w:val="00F5289D"/>
    <w:rsid w:val="00F53201"/>
    <w:rsid w:val="00F54507"/>
    <w:rsid w:val="00F55818"/>
    <w:rsid w:val="00F55A55"/>
    <w:rsid w:val="00F564BB"/>
    <w:rsid w:val="00F56B81"/>
    <w:rsid w:val="00F57833"/>
    <w:rsid w:val="00F57C5A"/>
    <w:rsid w:val="00F57CDB"/>
    <w:rsid w:val="00F60255"/>
    <w:rsid w:val="00F6051F"/>
    <w:rsid w:val="00F611C4"/>
    <w:rsid w:val="00F62CAB"/>
    <w:rsid w:val="00F63A4B"/>
    <w:rsid w:val="00F63B7A"/>
    <w:rsid w:val="00F64571"/>
    <w:rsid w:val="00F646F2"/>
    <w:rsid w:val="00F65767"/>
    <w:rsid w:val="00F66050"/>
    <w:rsid w:val="00F66AF0"/>
    <w:rsid w:val="00F671B0"/>
    <w:rsid w:val="00F70798"/>
    <w:rsid w:val="00F71089"/>
    <w:rsid w:val="00F7112C"/>
    <w:rsid w:val="00F71440"/>
    <w:rsid w:val="00F72391"/>
    <w:rsid w:val="00F72F9B"/>
    <w:rsid w:val="00F74018"/>
    <w:rsid w:val="00F740C3"/>
    <w:rsid w:val="00F74E06"/>
    <w:rsid w:val="00F756A9"/>
    <w:rsid w:val="00F75DAA"/>
    <w:rsid w:val="00F7681A"/>
    <w:rsid w:val="00F7713D"/>
    <w:rsid w:val="00F774F7"/>
    <w:rsid w:val="00F77825"/>
    <w:rsid w:val="00F77E2A"/>
    <w:rsid w:val="00F80216"/>
    <w:rsid w:val="00F82E0B"/>
    <w:rsid w:val="00F83246"/>
    <w:rsid w:val="00F84629"/>
    <w:rsid w:val="00F84770"/>
    <w:rsid w:val="00F84868"/>
    <w:rsid w:val="00F84F8A"/>
    <w:rsid w:val="00F856A9"/>
    <w:rsid w:val="00F8649C"/>
    <w:rsid w:val="00F90AF3"/>
    <w:rsid w:val="00F90F93"/>
    <w:rsid w:val="00F93CD2"/>
    <w:rsid w:val="00F9546B"/>
    <w:rsid w:val="00F9588A"/>
    <w:rsid w:val="00F96194"/>
    <w:rsid w:val="00F97B77"/>
    <w:rsid w:val="00F97DBA"/>
    <w:rsid w:val="00FA0CAE"/>
    <w:rsid w:val="00FA3978"/>
    <w:rsid w:val="00FA515A"/>
    <w:rsid w:val="00FB04F1"/>
    <w:rsid w:val="00FB0FF5"/>
    <w:rsid w:val="00FB1FBC"/>
    <w:rsid w:val="00FB23A3"/>
    <w:rsid w:val="00FB384C"/>
    <w:rsid w:val="00FB4B22"/>
    <w:rsid w:val="00FB5BD9"/>
    <w:rsid w:val="00FC35FF"/>
    <w:rsid w:val="00FC368C"/>
    <w:rsid w:val="00FC43D5"/>
    <w:rsid w:val="00FC4840"/>
    <w:rsid w:val="00FC4933"/>
    <w:rsid w:val="00FC4D08"/>
    <w:rsid w:val="00FC5E72"/>
    <w:rsid w:val="00FC6A06"/>
    <w:rsid w:val="00FD04D1"/>
    <w:rsid w:val="00FD2144"/>
    <w:rsid w:val="00FD2944"/>
    <w:rsid w:val="00FD43AC"/>
    <w:rsid w:val="00FD4B19"/>
    <w:rsid w:val="00FD557E"/>
    <w:rsid w:val="00FD5891"/>
    <w:rsid w:val="00FD6056"/>
    <w:rsid w:val="00FD66F6"/>
    <w:rsid w:val="00FD7B6B"/>
    <w:rsid w:val="00FE18D0"/>
    <w:rsid w:val="00FE1D58"/>
    <w:rsid w:val="00FE1F41"/>
    <w:rsid w:val="00FE2908"/>
    <w:rsid w:val="00FE2CF3"/>
    <w:rsid w:val="00FE2FEB"/>
    <w:rsid w:val="00FE3806"/>
    <w:rsid w:val="00FE4B69"/>
    <w:rsid w:val="00FE516F"/>
    <w:rsid w:val="00FE67FB"/>
    <w:rsid w:val="00FE6EC8"/>
    <w:rsid w:val="00FF0338"/>
    <w:rsid w:val="00FF148C"/>
    <w:rsid w:val="00FF2957"/>
    <w:rsid w:val="00FF4F17"/>
    <w:rsid w:val="00FF5D80"/>
    <w:rsid w:val="00FF5DBD"/>
    <w:rsid w:val="00FF60E8"/>
    <w:rsid w:val="00FF62A2"/>
    <w:rsid w:val="00FF6E6D"/>
    <w:rsid w:val="00FF6F80"/>
    <w:rsid w:val="00FF7096"/>
    <w:rsid w:val="00FF7C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434"/>
    <o:shapelayout v:ext="edit">
      <o:idmap v:ext="edit" data="1"/>
    </o:shapelayout>
  </w:shapeDefaults>
  <w:decimalSymbol w:val="."/>
  <w:listSeparator w:val=","/>
  <w14:docId w14:val="3C94A563"/>
  <w15:docId w15:val="{01EC873D-0AFE-4BE9-B5C7-79681381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5AB"/>
    <w:pPr>
      <w:spacing w:line="280" w:lineRule="atLeast"/>
      <w:jc w:val="both"/>
    </w:pPr>
    <w:rPr>
      <w:sz w:val="22"/>
    </w:rPr>
  </w:style>
  <w:style w:type="paragraph" w:styleId="Heading1">
    <w:name w:val="heading 1"/>
    <w:basedOn w:val="Normal"/>
    <w:next w:val="Normal"/>
    <w:link w:val="Heading1Char"/>
    <w:qFormat/>
    <w:rsid w:val="00AC3018"/>
    <w:pPr>
      <w:keepNext/>
      <w:numPr>
        <w:numId w:val="16"/>
      </w:numPr>
      <w:pBdr>
        <w:bottom w:val="single" w:sz="6" w:space="1" w:color="011C67"/>
      </w:pBdr>
      <w:spacing w:after="720" w:line="240" w:lineRule="auto"/>
      <w:jc w:val="right"/>
      <w:outlineLvl w:val="0"/>
    </w:pPr>
    <w:rPr>
      <w:rFonts w:ascii="Franklin Gothic Heavy" w:hAnsi="Franklin Gothic Heavy"/>
      <w:color w:val="011767"/>
      <w:kern w:val="28"/>
      <w:sz w:val="32"/>
      <w:szCs w:val="32"/>
    </w:rPr>
  </w:style>
  <w:style w:type="paragraph" w:styleId="Heading2">
    <w:name w:val="heading 2"/>
    <w:basedOn w:val="Normal"/>
    <w:next w:val="Normal"/>
    <w:link w:val="Heading2Char"/>
    <w:qFormat/>
    <w:rsid w:val="00A34D78"/>
    <w:pPr>
      <w:widowControl w:val="0"/>
      <w:numPr>
        <w:ilvl w:val="1"/>
        <w:numId w:val="16"/>
      </w:numPr>
      <w:spacing w:before="480" w:after="140" w:line="240" w:lineRule="auto"/>
      <w:ind w:left="1008"/>
      <w:jc w:val="left"/>
      <w:outlineLvl w:val="1"/>
    </w:pPr>
    <w:rPr>
      <w:rFonts w:ascii="Franklin Gothic Heavy" w:hAnsi="Franklin Gothic Heavy"/>
      <w:color w:val="011C67"/>
      <w:spacing w:val="4"/>
      <w:sz w:val="28"/>
      <w:szCs w:val="28"/>
    </w:rPr>
  </w:style>
  <w:style w:type="paragraph" w:styleId="Heading3">
    <w:name w:val="heading 3"/>
    <w:basedOn w:val="Normal"/>
    <w:next w:val="Normal"/>
    <w:link w:val="Heading3Char"/>
    <w:autoRedefine/>
    <w:qFormat/>
    <w:rsid w:val="00171A78"/>
    <w:pPr>
      <w:keepNext/>
      <w:keepLines/>
      <w:widowControl w:val="0"/>
      <w:numPr>
        <w:ilvl w:val="2"/>
        <w:numId w:val="16"/>
      </w:numPr>
      <w:tabs>
        <w:tab w:val="clear" w:pos="1458"/>
        <w:tab w:val="num" w:pos="1008"/>
      </w:tabs>
      <w:spacing w:before="360" w:after="120" w:line="240" w:lineRule="auto"/>
      <w:ind w:left="1008"/>
      <w:jc w:val="left"/>
      <w:outlineLvl w:val="2"/>
    </w:pPr>
    <w:rPr>
      <w:rFonts w:ascii="Franklin Gothic Heavy" w:hAnsi="Franklin Gothic Heavy"/>
      <w:color w:val="011C67"/>
      <w:sz w:val="26"/>
      <w:szCs w:val="26"/>
    </w:rPr>
  </w:style>
  <w:style w:type="paragraph" w:styleId="Heading4">
    <w:name w:val="heading 4"/>
    <w:basedOn w:val="Normal"/>
    <w:next w:val="Normal"/>
    <w:link w:val="Heading4Char"/>
    <w:autoRedefine/>
    <w:qFormat/>
    <w:rsid w:val="003307D3"/>
    <w:pPr>
      <w:keepNext/>
      <w:numPr>
        <w:ilvl w:val="3"/>
        <w:numId w:val="16"/>
      </w:numPr>
      <w:tabs>
        <w:tab w:val="clear" w:pos="1458"/>
        <w:tab w:val="num" w:pos="990"/>
      </w:tabs>
      <w:spacing w:before="300" w:after="100" w:line="240" w:lineRule="auto"/>
      <w:ind w:left="990" w:hanging="990"/>
      <w:jc w:val="left"/>
      <w:outlineLvl w:val="3"/>
    </w:pPr>
    <w:rPr>
      <w:rFonts w:ascii="Franklin Gothic Heavy" w:hAnsi="Franklin Gothic Heavy"/>
      <w:color w:val="011C67"/>
    </w:rPr>
  </w:style>
  <w:style w:type="paragraph" w:styleId="Heading5">
    <w:name w:val="heading 5"/>
    <w:basedOn w:val="Normal"/>
    <w:next w:val="Normal"/>
    <w:qFormat/>
    <w:pPr>
      <w:numPr>
        <w:ilvl w:val="4"/>
        <w:numId w:val="16"/>
      </w:numPr>
      <w:spacing w:before="160" w:after="200" w:line="240" w:lineRule="auto"/>
      <w:outlineLvl w:val="4"/>
    </w:pPr>
    <w:rPr>
      <w:rFonts w:ascii="Franklin Gothic Heavy" w:hAnsi="Franklin Gothic Heavy"/>
      <w:color w:val="011C67"/>
      <w:sz w:val="16"/>
      <w:szCs w:val="16"/>
    </w:rPr>
  </w:style>
  <w:style w:type="paragraph" w:styleId="Heading6">
    <w:name w:val="heading 6"/>
    <w:basedOn w:val="Normal"/>
    <w:next w:val="Normal"/>
    <w:qFormat/>
    <w:pPr>
      <w:keepNext/>
      <w:numPr>
        <w:ilvl w:val="5"/>
        <w:numId w:val="16"/>
      </w:numPr>
      <w:spacing w:before="120" w:after="160" w:line="240" w:lineRule="auto"/>
      <w:jc w:val="left"/>
      <w:outlineLvl w:val="5"/>
    </w:pPr>
    <w:rPr>
      <w:rFonts w:ascii="Franklin Gothic Demi" w:hAnsi="Franklin Gothic Demi"/>
      <w:sz w:val="20"/>
    </w:rPr>
  </w:style>
  <w:style w:type="paragraph" w:styleId="Heading7">
    <w:name w:val="heading 7"/>
    <w:basedOn w:val="Normal"/>
    <w:next w:val="Normal"/>
    <w:qFormat/>
    <w:pPr>
      <w:keepNext/>
      <w:numPr>
        <w:ilvl w:val="6"/>
        <w:numId w:val="16"/>
      </w:numPr>
      <w:outlineLvl w:val="6"/>
    </w:pPr>
    <w:rPr>
      <w:b/>
      <w:i/>
    </w:rPr>
  </w:style>
  <w:style w:type="paragraph" w:styleId="Heading8">
    <w:name w:val="heading 8"/>
    <w:basedOn w:val="Normal"/>
    <w:next w:val="Normal"/>
    <w:qFormat/>
    <w:pPr>
      <w:keepNext/>
      <w:numPr>
        <w:ilvl w:val="7"/>
        <w:numId w:val="16"/>
      </w:numPr>
      <w:outlineLvl w:val="7"/>
    </w:pPr>
    <w:rPr>
      <w:b/>
      <w:u w:val="single"/>
    </w:rPr>
  </w:style>
  <w:style w:type="paragraph" w:styleId="Heading9">
    <w:name w:val="heading 9"/>
    <w:basedOn w:val="Normal"/>
    <w:next w:val="Normal"/>
    <w:qFormat/>
    <w:pPr>
      <w:keepNext/>
      <w:numPr>
        <w:ilvl w:val="8"/>
        <w:numId w:val="16"/>
      </w:numPr>
      <w:spacing w:before="120" w:after="120" w:line="240" w:lineRule="auto"/>
      <w:jc w:val="left"/>
      <w:outlineLvl w:val="8"/>
    </w:pPr>
    <w:rPr>
      <w:rFonts w:ascii="Franklin Gothic Demi" w:hAnsi="Franklin Gothic Demi"/>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3018"/>
    <w:rPr>
      <w:rFonts w:ascii="Franklin Gothic Heavy" w:hAnsi="Franklin Gothic Heavy"/>
      <w:color w:val="011767"/>
      <w:kern w:val="28"/>
      <w:sz w:val="32"/>
      <w:szCs w:val="32"/>
    </w:rPr>
  </w:style>
  <w:style w:type="paragraph" w:styleId="TOC1">
    <w:name w:val="toc 1"/>
    <w:basedOn w:val="Normal"/>
    <w:next w:val="Normal"/>
    <w:autoRedefine/>
    <w:uiPriority w:val="39"/>
    <w:rsid w:val="00856C42"/>
    <w:pPr>
      <w:tabs>
        <w:tab w:val="left" w:pos="1170"/>
        <w:tab w:val="right" w:leader="dot" w:pos="8827"/>
      </w:tabs>
      <w:spacing w:after="60" w:line="240" w:lineRule="auto"/>
      <w:ind w:left="1170" w:hanging="1170"/>
      <w:jc w:val="left"/>
    </w:pPr>
    <w:rPr>
      <w:rFonts w:ascii="Franklin Gothic Demi" w:hAnsi="Franklin Gothic Demi"/>
      <w:color w:val="011C67"/>
      <w:sz w:val="20"/>
    </w:rPr>
  </w:style>
  <w:style w:type="paragraph" w:styleId="TOC2">
    <w:name w:val="toc 2"/>
    <w:basedOn w:val="Normal"/>
    <w:next w:val="Normal"/>
    <w:autoRedefine/>
    <w:uiPriority w:val="39"/>
    <w:rsid w:val="00F05DCB"/>
    <w:pPr>
      <w:tabs>
        <w:tab w:val="left" w:pos="800"/>
        <w:tab w:val="left" w:pos="1440"/>
        <w:tab w:val="right" w:leader="dot" w:pos="8820"/>
      </w:tabs>
      <w:spacing w:after="60" w:line="240" w:lineRule="auto"/>
      <w:ind w:right="144" w:firstLine="878"/>
      <w:jc w:val="left"/>
    </w:pPr>
    <w:rPr>
      <w:rFonts w:ascii="Franklin Gothic Book" w:hAnsi="Franklin Gothic Book"/>
      <w:color w:val="000000"/>
      <w:sz w:val="20"/>
    </w:rPr>
  </w:style>
  <w:style w:type="paragraph" w:styleId="TOC3">
    <w:name w:val="toc 3"/>
    <w:basedOn w:val="Normal"/>
    <w:next w:val="Normal"/>
    <w:autoRedefine/>
    <w:uiPriority w:val="39"/>
    <w:rsid w:val="000C691A"/>
    <w:pPr>
      <w:tabs>
        <w:tab w:val="left" w:pos="1200"/>
        <w:tab w:val="left" w:pos="1800"/>
        <w:tab w:val="right" w:leader="dot" w:pos="8820"/>
      </w:tabs>
      <w:spacing w:after="60" w:line="240" w:lineRule="auto"/>
      <w:ind w:left="1170" w:right="54" w:firstLine="30"/>
      <w:jc w:val="left"/>
    </w:pPr>
    <w:rPr>
      <w:rFonts w:ascii="Franklin Gothic Book" w:hAnsi="Franklin Gothic Book"/>
      <w:color w:val="000000"/>
      <w:sz w:val="18"/>
      <w:szCs w:val="18"/>
    </w:rPr>
  </w:style>
  <w:style w:type="paragraph" w:styleId="TOC4">
    <w:name w:val="toc 4"/>
    <w:basedOn w:val="Normal"/>
    <w:next w:val="Normal"/>
    <w:autoRedefine/>
    <w:uiPriority w:val="39"/>
    <w:rsid w:val="00F05DCB"/>
    <w:pPr>
      <w:tabs>
        <w:tab w:val="left" w:pos="2070"/>
        <w:tab w:val="right" w:leader="dot" w:pos="2160"/>
        <w:tab w:val="right" w:leader="dot" w:pos="8827"/>
      </w:tabs>
      <w:spacing w:after="60" w:line="240" w:lineRule="auto"/>
      <w:ind w:left="1440"/>
      <w:jc w:val="left"/>
    </w:pPr>
    <w:rPr>
      <w:rFonts w:ascii="Franklin Gothic Book" w:hAnsi="Franklin Gothic Book"/>
      <w:noProof/>
      <w:sz w:val="16"/>
      <w:szCs w:val="22"/>
    </w:rPr>
  </w:style>
  <w:style w:type="paragraph" w:styleId="TOC5">
    <w:name w:val="toc 5"/>
    <w:basedOn w:val="Normal"/>
    <w:next w:val="Normal"/>
    <w:autoRedefine/>
    <w:uiPriority w:val="39"/>
    <w:rsid w:val="00F05DCB"/>
    <w:pPr>
      <w:tabs>
        <w:tab w:val="left" w:pos="2880"/>
        <w:tab w:val="right" w:leader="dot" w:pos="8827"/>
      </w:tabs>
      <w:spacing w:after="60" w:line="240" w:lineRule="auto"/>
      <w:ind w:left="2160"/>
    </w:pPr>
    <w:rPr>
      <w:rFonts w:ascii="Franklin Gothic Book" w:hAnsi="Franklin Gothic Book"/>
      <w:noProof/>
      <w:sz w:val="14"/>
    </w:r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paragraph" w:styleId="Header">
    <w:name w:val="header"/>
    <w:basedOn w:val="Normal"/>
    <w:link w:val="HeaderChar"/>
    <w:uiPriority w:val="99"/>
    <w:pPr>
      <w:pBdr>
        <w:bottom w:val="single" w:sz="6" w:space="1" w:color="011C67"/>
      </w:pBdr>
      <w:tabs>
        <w:tab w:val="right" w:pos="8827"/>
      </w:tabs>
      <w:spacing w:after="560" w:line="240" w:lineRule="auto"/>
      <w:jc w:val="left"/>
    </w:pPr>
    <w:rPr>
      <w:rFonts w:ascii="Franklin Gothic Book" w:hAnsi="Franklin Gothic Book"/>
      <w:color w:val="000000"/>
      <w:sz w:val="20"/>
    </w:rPr>
  </w:style>
  <w:style w:type="paragraph" w:styleId="Footer">
    <w:name w:val="footer"/>
    <w:basedOn w:val="Normal"/>
    <w:link w:val="FooterChar"/>
    <w:uiPriority w:val="99"/>
    <w:pPr>
      <w:pBdr>
        <w:top w:val="single" w:sz="6" w:space="1" w:color="705300"/>
      </w:pBdr>
      <w:tabs>
        <w:tab w:val="center" w:pos="4320"/>
        <w:tab w:val="right" w:pos="8640"/>
      </w:tabs>
    </w:pPr>
  </w:style>
  <w:style w:type="character" w:styleId="PageNumber">
    <w:name w:val="page number"/>
    <w:basedOn w:val="DefaultParagraphFont"/>
    <w:rPr>
      <w:rFonts w:ascii="Futura Lt BT" w:hAnsi="Futura Lt BT"/>
      <w:dstrike w:val="0"/>
      <w:sz w:val="16"/>
      <w:szCs w:val="16"/>
      <w:vertAlign w:val="baseline"/>
    </w:rPr>
  </w:style>
  <w:style w:type="paragraph" w:styleId="Caption">
    <w:name w:val="caption"/>
    <w:basedOn w:val="Normal"/>
    <w:next w:val="Normal"/>
    <w:qFormat/>
    <w:pPr>
      <w:spacing w:before="120" w:after="120"/>
    </w:pPr>
    <w:rPr>
      <w:b/>
    </w:rPr>
  </w:style>
  <w:style w:type="paragraph" w:styleId="TableofFigures">
    <w:name w:val="table of figures"/>
    <w:basedOn w:val="Normal"/>
    <w:next w:val="Normal"/>
    <w:uiPriority w:val="99"/>
    <w:pPr>
      <w:ind w:left="480" w:hanging="480"/>
    </w:pPr>
  </w:style>
  <w:style w:type="paragraph" w:customStyle="1" w:styleId="listlevel1">
    <w:name w:val="list level 1"/>
    <w:basedOn w:val="Normal"/>
    <w:next w:val="BodyText"/>
    <w:pPr>
      <w:numPr>
        <w:numId w:val="3"/>
      </w:numPr>
      <w:tabs>
        <w:tab w:val="left" w:pos="648"/>
      </w:tabs>
      <w:spacing w:after="120" w:line="240" w:lineRule="auto"/>
      <w:jc w:val="left"/>
    </w:pPr>
    <w:rPr>
      <w:rFonts w:ascii="Garamond" w:hAnsi="Garamond"/>
      <w:szCs w:val="21"/>
    </w:rPr>
  </w:style>
  <w:style w:type="paragraph" w:styleId="BodyText">
    <w:name w:val="Body Text"/>
    <w:basedOn w:val="Normal"/>
    <w:link w:val="BodyTextChar"/>
    <w:rsid w:val="00C17305"/>
    <w:pPr>
      <w:spacing w:after="200" w:line="240" w:lineRule="auto"/>
      <w:jc w:val="left"/>
    </w:pPr>
    <w:rPr>
      <w:rFonts w:ascii="Garamond" w:hAnsi="Garamond"/>
      <w:color w:val="000000"/>
      <w:sz w:val="24"/>
      <w:szCs w:val="21"/>
    </w:rPr>
  </w:style>
  <w:style w:type="paragraph" w:customStyle="1" w:styleId="subheading1">
    <w:name w:val="subheading 1"/>
    <w:basedOn w:val="Normal"/>
    <w:pPr>
      <w:keepNext/>
      <w:spacing w:before="120" w:after="60" w:line="360" w:lineRule="auto"/>
      <w:jc w:val="left"/>
    </w:pPr>
    <w:rPr>
      <w:rFonts w:ascii="Arial" w:hAnsi="Arial"/>
      <w:b/>
      <w:sz w:val="20"/>
    </w:rPr>
  </w:style>
  <w:style w:type="paragraph" w:customStyle="1" w:styleId="listlevel2">
    <w:name w:val="list level 2"/>
    <w:basedOn w:val="Normal"/>
    <w:pPr>
      <w:numPr>
        <w:numId w:val="4"/>
      </w:numPr>
      <w:tabs>
        <w:tab w:val="left" w:pos="936"/>
      </w:tabs>
      <w:spacing w:after="120" w:line="240" w:lineRule="auto"/>
      <w:jc w:val="left"/>
    </w:pPr>
    <w:rPr>
      <w:rFonts w:ascii="Garamond" w:hAnsi="Garamond"/>
      <w:color w:val="000000"/>
      <w:szCs w:val="21"/>
    </w:rPr>
  </w:style>
  <w:style w:type="paragraph" w:styleId="Title">
    <w:name w:val="Title"/>
    <w:basedOn w:val="Normal"/>
    <w:qFormat/>
    <w:pPr>
      <w:jc w:val="center"/>
    </w:pPr>
    <w:rPr>
      <w:b/>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0000FF"/>
      <w:u w:val="single"/>
    </w:rPr>
  </w:style>
  <w:style w:type="paragraph" w:styleId="BodyTextIndent">
    <w:name w:val="Body Text Indent"/>
    <w:basedOn w:val="BodyText"/>
    <w:pPr>
      <w:tabs>
        <w:tab w:val="left" w:pos="288"/>
      </w:tabs>
      <w:spacing w:after="120"/>
      <w:ind w:left="576" w:hanging="288"/>
    </w:pPr>
  </w:style>
  <w:style w:type="paragraph" w:styleId="DocumentMap">
    <w:name w:val="Document Map"/>
    <w:basedOn w:val="Normal"/>
    <w:semiHidden/>
    <w:pPr>
      <w:shd w:val="clear" w:color="auto" w:fill="000080"/>
    </w:pPr>
    <w:rPr>
      <w:rFonts w:ascii="Tahoma" w:hAnsi="Tahoma"/>
    </w:rPr>
  </w:style>
  <w:style w:type="paragraph" w:customStyle="1" w:styleId="Heading1-TOC">
    <w:name w:val="Heading 1 - TOC"/>
    <w:basedOn w:val="Heading1"/>
    <w:pPr>
      <w:keepNext w:val="0"/>
      <w:widowControl w:val="0"/>
      <w:numPr>
        <w:numId w:val="0"/>
      </w:numPr>
      <w:pBdr>
        <w:bottom w:val="none" w:sz="0" w:space="0" w:color="auto"/>
      </w:pBdr>
      <w:tabs>
        <w:tab w:val="decimal" w:pos="288"/>
        <w:tab w:val="left" w:pos="432"/>
        <w:tab w:val="decimal" w:leader="dot" w:pos="9360"/>
      </w:tabs>
      <w:spacing w:after="60"/>
      <w:jc w:val="both"/>
    </w:pPr>
    <w:rPr>
      <w:rFonts w:ascii="Arial" w:eastAsia="Times" w:hAnsi="Arial" w:cs="Arial"/>
      <w:bCs/>
      <w:color w:val="000080"/>
      <w:kern w:val="32"/>
      <w:sz w:val="22"/>
    </w:rPr>
  </w:style>
  <w:style w:type="paragraph" w:customStyle="1" w:styleId="2ndlevelbullet">
    <w:name w:val="2nd level bullet"/>
    <w:basedOn w:val="1stlevelbullet"/>
    <w:next w:val="BodyText"/>
    <w:pPr>
      <w:numPr>
        <w:numId w:val="1"/>
      </w:numPr>
      <w:tabs>
        <w:tab w:val="clear" w:pos="504"/>
        <w:tab w:val="left" w:pos="936"/>
      </w:tabs>
      <w:autoSpaceDE w:val="0"/>
    </w:pPr>
    <w:rPr>
      <w:szCs w:val="22"/>
    </w:rPr>
  </w:style>
  <w:style w:type="paragraph" w:customStyle="1" w:styleId="1stlevelbullet">
    <w:name w:val="1st level bullet"/>
    <w:next w:val="BodyText"/>
    <w:uiPriority w:val="99"/>
    <w:pPr>
      <w:numPr>
        <w:numId w:val="2"/>
      </w:numPr>
      <w:tabs>
        <w:tab w:val="left" w:pos="504"/>
      </w:tabs>
      <w:spacing w:after="120"/>
    </w:pPr>
    <w:rPr>
      <w:rFonts w:ascii="Garamond" w:hAnsi="Garamond"/>
      <w:color w:val="000000"/>
      <w:sz w:val="22"/>
      <w:szCs w:val="21"/>
    </w:rPr>
  </w:style>
  <w:style w:type="paragraph" w:customStyle="1" w:styleId="bodytextbold">
    <w:name w:val="body text bold"/>
    <w:basedOn w:val="BodyText"/>
    <w:autoRedefine/>
    <w:rPr>
      <w:b/>
    </w:rPr>
  </w:style>
  <w:style w:type="paragraph" w:customStyle="1" w:styleId="bodytextitalic">
    <w:name w:val="body text italic"/>
    <w:basedOn w:val="BodyText"/>
    <w:rPr>
      <w:i/>
    </w:rPr>
  </w:style>
  <w:style w:type="paragraph" w:customStyle="1" w:styleId="listromannumeral">
    <w:name w:val="list roman numeral"/>
    <w:pPr>
      <w:numPr>
        <w:numId w:val="5"/>
      </w:numPr>
      <w:tabs>
        <w:tab w:val="left" w:pos="1350"/>
      </w:tabs>
      <w:spacing w:after="120"/>
      <w:ind w:firstLine="702"/>
    </w:pPr>
    <w:rPr>
      <w:rFonts w:ascii="Garamond" w:hAnsi="Garamond"/>
      <w:color w:val="000000"/>
      <w:sz w:val="22"/>
      <w:szCs w:val="21"/>
    </w:rPr>
  </w:style>
  <w:style w:type="paragraph" w:customStyle="1" w:styleId="TOCheader">
    <w:name w:val="TOC header"/>
    <w:basedOn w:val="Header"/>
    <w:autoRedefine/>
    <w:rsid w:val="00D24972"/>
    <w:pPr>
      <w:pBdr>
        <w:bottom w:val="none" w:sz="0" w:space="0" w:color="auto"/>
      </w:pBdr>
      <w:tabs>
        <w:tab w:val="left" w:pos="2661"/>
        <w:tab w:val="right" w:pos="8784"/>
      </w:tabs>
      <w:spacing w:after="600"/>
      <w:jc w:val="right"/>
    </w:pPr>
    <w:rPr>
      <w:rFonts w:ascii="Franklin Gothic Heavy" w:hAnsi="Franklin Gothic Heavy"/>
      <w:color w:val="011C67"/>
      <w:sz w:val="32"/>
      <w:szCs w:val="32"/>
    </w:rPr>
  </w:style>
  <w:style w:type="paragraph" w:customStyle="1" w:styleId="tocpagenumber">
    <w:name w:val="toc page number"/>
    <w:basedOn w:val="Normal"/>
    <w:pPr>
      <w:spacing w:line="240" w:lineRule="auto"/>
      <w:jc w:val="center"/>
    </w:pPr>
    <w:rPr>
      <w:rFonts w:ascii="Futura Lt BT" w:hAnsi="Futura Lt BT"/>
      <w:sz w:val="16"/>
    </w:rPr>
  </w:style>
  <w:style w:type="paragraph" w:customStyle="1" w:styleId="listoftables">
    <w:name w:val="list of tables"/>
    <w:basedOn w:val="Normal"/>
    <w:pPr>
      <w:pBdr>
        <w:bottom w:val="single" w:sz="6" w:space="1" w:color="000000"/>
      </w:pBdr>
      <w:jc w:val="left"/>
    </w:pPr>
    <w:rPr>
      <w:rFonts w:ascii="Franklin Gothic Demi" w:hAnsi="Franklin Gothic Demi"/>
    </w:rPr>
  </w:style>
  <w:style w:type="paragraph" w:customStyle="1" w:styleId="Appendixtitle">
    <w:name w:val="Appendix title"/>
    <w:pPr>
      <w:pBdr>
        <w:bottom w:val="single" w:sz="12" w:space="1" w:color="011C67"/>
      </w:pBdr>
      <w:spacing w:before="4000"/>
      <w:jc w:val="right"/>
    </w:pPr>
    <w:rPr>
      <w:rFonts w:ascii="Franklin Gothic Heavy" w:hAnsi="Franklin Gothic Heavy"/>
      <w:color w:val="011C67"/>
      <w:sz w:val="32"/>
      <w:szCs w:val="32"/>
    </w:rPr>
  </w:style>
  <w:style w:type="paragraph" w:customStyle="1" w:styleId="figuretitlepage">
    <w:name w:val="figure title page"/>
    <w:basedOn w:val="Appendixtitle"/>
  </w:style>
  <w:style w:type="paragraph" w:customStyle="1" w:styleId="Tabletitlepage">
    <w:name w:val="Table title page"/>
    <w:basedOn w:val="figuretitlepage"/>
  </w:style>
  <w:style w:type="paragraph" w:customStyle="1" w:styleId="Glossary">
    <w:name w:val="Glossary"/>
    <w:basedOn w:val="Tabletitlepage"/>
    <w:pPr>
      <w:pBdr>
        <w:bottom w:val="single" w:sz="6" w:space="1" w:color="011C67"/>
      </w:pBdr>
      <w:spacing w:before="0" w:after="240"/>
      <w:jc w:val="left"/>
    </w:pPr>
  </w:style>
  <w:style w:type="paragraph" w:customStyle="1" w:styleId="TOCheader2">
    <w:name w:val="TOC header 2"/>
    <w:basedOn w:val="TOCheader"/>
    <w:rPr>
      <w:rFonts w:ascii="Franklin Gothic Book" w:hAnsi="Franklin Gothic Book"/>
      <w:sz w:val="20"/>
    </w:rPr>
  </w:style>
  <w:style w:type="paragraph" w:styleId="BalloonText">
    <w:name w:val="Balloon Text"/>
    <w:basedOn w:val="Normal"/>
    <w:link w:val="BalloonTextChar"/>
    <w:uiPriority w:val="99"/>
    <w:semiHidden/>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line="280" w:lineRule="atLeast"/>
      <w:ind w:firstLine="210"/>
    </w:pPr>
    <w:rPr>
      <w:rFonts w:ascii="Times New Roman" w:hAnsi="Times New Roman"/>
      <w:color w:val="auto"/>
      <w:szCs w:val="20"/>
    </w:rPr>
  </w:style>
  <w:style w:type="paragraph" w:styleId="BodyTextFirstIndent2">
    <w:name w:val="Body Text First Indent 2"/>
    <w:basedOn w:val="BodyTextIndent"/>
    <w:pPr>
      <w:tabs>
        <w:tab w:val="clear" w:pos="288"/>
      </w:tabs>
      <w:spacing w:line="280" w:lineRule="atLeast"/>
      <w:ind w:left="360" w:firstLine="210"/>
      <w:jc w:val="both"/>
    </w:pPr>
    <w:rPr>
      <w:rFonts w:ascii="Times New Roman" w:hAnsi="Times New Roman"/>
      <w:color w:val="auto"/>
      <w:szCs w:val="20"/>
    </w:r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Closing">
    <w:name w:val="Closing"/>
    <w:basedOn w:val="Normal"/>
    <w:pPr>
      <w:ind w:left="4320"/>
    </w:pPr>
  </w:style>
  <w:style w:type="paragraph" w:styleId="CommentText">
    <w:name w:val="annotation text"/>
    <w:basedOn w:val="Normal"/>
    <w:link w:val="CommentTextChar"/>
    <w:uiPriority w:val="99"/>
    <w:semiHidden/>
    <w:rPr>
      <w:sz w:val="20"/>
    </w:rPr>
  </w:style>
  <w:style w:type="paragraph" w:styleId="CommentSubject">
    <w:name w:val="annotation subject"/>
    <w:basedOn w:val="CommentText"/>
    <w:next w:val="CommentText"/>
    <w:link w:val="CommentSubjectChar"/>
    <w:uiPriority w:val="99"/>
    <w:semiHidden/>
    <w:rPr>
      <w:b/>
      <w:bCs/>
    </w:rPr>
  </w:style>
  <w:style w:type="paragraph" w:styleId="Date">
    <w:name w:val="Date"/>
    <w:basedOn w:val="Normal"/>
    <w:next w:val="Normal"/>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Pr>
      <w:rFonts w:ascii="Arial" w:hAnsi="Arial" w:cs="Arial"/>
      <w:sz w:val="20"/>
    </w:rPr>
  </w:style>
  <w:style w:type="paragraph" w:styleId="FootnoteText">
    <w:name w:val="footnote text"/>
    <w:basedOn w:val="Normal"/>
    <w:link w:val="FootnoteTextChar"/>
    <w:uiPriority w:val="99"/>
    <w:rPr>
      <w:sz w:val="20"/>
    </w:rPr>
  </w:style>
  <w:style w:type="paragraph" w:styleId="HTMLAddress">
    <w:name w:val="HTML Address"/>
    <w:basedOn w:val="Normal"/>
    <w:rPr>
      <w:i/>
      <w:iCs/>
    </w:rPr>
  </w:style>
  <w:style w:type="paragraph" w:styleId="HTMLPreformatted">
    <w:name w:val="HTML Preformatted"/>
    <w:basedOn w:val="Normal"/>
    <w:link w:val="HTMLPreformattedChar"/>
    <w:rPr>
      <w:rFonts w:ascii="Courier New" w:hAnsi="Courier New" w:cs="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cs="Arial"/>
      <w:b/>
      <w:bCs/>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pPr>
      <w:numPr>
        <w:numId w:val="14"/>
      </w:numPr>
    </w:pPr>
  </w:style>
  <w:style w:type="paragraph" w:styleId="ListBullet2">
    <w:name w:val="List Bullet 2"/>
    <w:basedOn w:val="Normal"/>
    <w:rsid w:val="00CF5F88"/>
    <w:pPr>
      <w:numPr>
        <w:numId w:val="15"/>
      </w:numPr>
      <w:spacing w:before="120" w:after="120" w:line="240" w:lineRule="auto"/>
    </w:pPr>
    <w:rPr>
      <w:rFonts w:asciiTheme="majorHAnsi" w:hAnsiTheme="majorHAnsi"/>
    </w:rPr>
  </w:style>
  <w:style w:type="paragraph" w:styleId="ListBullet3">
    <w:name w:val="List Bullet 3"/>
    <w:basedOn w:val="Normal"/>
    <w:pPr>
      <w:numPr>
        <w:numId w:val="11"/>
      </w:numPr>
    </w:pPr>
  </w:style>
  <w:style w:type="paragraph" w:styleId="ListBullet4">
    <w:name w:val="List Bullet 4"/>
    <w:basedOn w:val="Normal"/>
    <w:pPr>
      <w:numPr>
        <w:numId w:val="12"/>
      </w:numPr>
    </w:pPr>
  </w:style>
  <w:style w:type="paragraph" w:styleId="ListBullet5">
    <w:name w:val="List Bullet 5"/>
    <w:basedOn w:val="Normal"/>
    <w:pPr>
      <w:numPr>
        <w:numId w:val="13"/>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9"/>
      </w:numPr>
    </w:pPr>
  </w:style>
  <w:style w:type="paragraph" w:styleId="ListNumber2">
    <w:name w:val="List Number 2"/>
    <w:basedOn w:val="Normal"/>
    <w:pPr>
      <w:numPr>
        <w:numId w:val="10"/>
      </w:numPr>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line="280" w:lineRule="atLeast"/>
      <w:jc w:val="both"/>
    </w:pPr>
    <w:rPr>
      <w:rFonts w:ascii="Courier New" w:hAnsi="Courier New" w:cs="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Cs w:val="24"/>
    </w:rPr>
  </w:style>
  <w:style w:type="paragraph" w:styleId="NormalWeb">
    <w:name w:val="Normal (Web)"/>
    <w:basedOn w:val="Normal"/>
    <w:uiPriority w:val="99"/>
    <w:rPr>
      <w:szCs w:val="24"/>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cs="Arial"/>
      <w:szCs w:val="24"/>
    </w:rPr>
  </w:style>
  <w:style w:type="paragraph" w:styleId="TableofAuthorities">
    <w:name w:val="table of authorities"/>
    <w:basedOn w:val="Normal"/>
    <w:next w:val="Normal"/>
    <w:semiHidden/>
    <w:pPr>
      <w:ind w:left="240" w:hanging="240"/>
    </w:pPr>
  </w:style>
  <w:style w:type="paragraph" w:styleId="TOAHeading">
    <w:name w:val="toa heading"/>
    <w:basedOn w:val="Normal"/>
    <w:next w:val="Normal"/>
    <w:semiHidden/>
    <w:pPr>
      <w:spacing w:before="120"/>
    </w:pPr>
    <w:rPr>
      <w:rFonts w:ascii="Arial" w:hAnsi="Arial" w:cs="Arial"/>
      <w:b/>
      <w:bCs/>
      <w:szCs w:val="24"/>
    </w:rPr>
  </w:style>
  <w:style w:type="paragraph" w:customStyle="1" w:styleId="AppendixTitle-2ndline">
    <w:name w:val="Appendix Title - 2nd line"/>
    <w:basedOn w:val="Normal"/>
    <w:pPr>
      <w:spacing w:before="120" w:line="240" w:lineRule="auto"/>
      <w:jc w:val="right"/>
    </w:pPr>
    <w:rPr>
      <w:rFonts w:ascii="Franklin Gothic Demi" w:hAnsi="Franklin Gothic Demi"/>
      <w:color w:val="011C67"/>
    </w:rPr>
  </w:style>
  <w:style w:type="paragraph" w:customStyle="1" w:styleId="2ndlevelappendix">
    <w:name w:val="2nd level appendix"/>
    <w:basedOn w:val="Normal"/>
    <w:autoRedefine/>
    <w:pPr>
      <w:tabs>
        <w:tab w:val="left" w:pos="6750"/>
      </w:tabs>
      <w:spacing w:before="120" w:line="240" w:lineRule="auto"/>
      <w:jc w:val="right"/>
    </w:pPr>
    <w:rPr>
      <w:rFonts w:ascii="Franklin Gothic Demi" w:hAnsi="Franklin Gothic Demi"/>
      <w:color w:val="011C67"/>
    </w:rPr>
  </w:style>
  <w:style w:type="paragraph" w:customStyle="1" w:styleId="ListBull2">
    <w:name w:val="List Bull 2"/>
    <w:basedOn w:val="Normal"/>
    <w:pPr>
      <w:numPr>
        <w:numId w:val="17"/>
      </w:numPr>
      <w:tabs>
        <w:tab w:val="left" w:pos="1080"/>
        <w:tab w:val="left" w:pos="1440"/>
      </w:tabs>
      <w:spacing w:before="60" w:after="60" w:line="240" w:lineRule="auto"/>
      <w:ind w:right="360"/>
    </w:pPr>
    <w:rPr>
      <w:szCs w:val="24"/>
    </w:rPr>
  </w:style>
  <w:style w:type="character" w:styleId="CommentReference">
    <w:name w:val="annotation reference"/>
    <w:basedOn w:val="DefaultParagraphFont"/>
    <w:uiPriority w:val="99"/>
    <w:semiHidden/>
    <w:rPr>
      <w:sz w:val="16"/>
      <w:szCs w:val="16"/>
    </w:rPr>
  </w:style>
  <w:style w:type="paragraph" w:customStyle="1" w:styleId="Default">
    <w:name w:val="Default"/>
    <w:pPr>
      <w:autoSpaceDE w:val="0"/>
      <w:autoSpaceDN w:val="0"/>
      <w:adjustRightInd w:val="0"/>
    </w:pPr>
    <w:rPr>
      <w:color w:val="000000"/>
      <w:sz w:val="24"/>
      <w:szCs w:val="24"/>
    </w:rPr>
  </w:style>
  <w:style w:type="paragraph" w:customStyle="1" w:styleId="SP7143467">
    <w:name w:val="SP.7.143467"/>
    <w:basedOn w:val="Default"/>
    <w:next w:val="Default"/>
    <w:uiPriority w:val="99"/>
    <w:pPr>
      <w:spacing w:before="340" w:after="160"/>
    </w:pPr>
    <w:rPr>
      <w:color w:val="auto"/>
    </w:rPr>
  </w:style>
  <w:style w:type="paragraph" w:customStyle="1" w:styleId="SP7143532">
    <w:name w:val="SP.7.143532"/>
    <w:basedOn w:val="Default"/>
    <w:next w:val="Default"/>
    <w:uiPriority w:val="99"/>
    <w:pPr>
      <w:spacing w:before="60" w:after="60"/>
    </w:pPr>
    <w:rPr>
      <w:color w:val="auto"/>
    </w:rPr>
  </w:style>
  <w:style w:type="character" w:customStyle="1" w:styleId="SC7217115">
    <w:name w:val="SC.7.217115"/>
    <w:uiPriority w:val="99"/>
    <w:rPr>
      <w:color w:val="000000"/>
      <w:sz w:val="20"/>
      <w:szCs w:val="20"/>
    </w:rPr>
  </w:style>
  <w:style w:type="character" w:customStyle="1" w:styleId="SC42225">
    <w:name w:val="SC.4.2225"/>
    <w:rPr>
      <w:rFonts w:cs="Arial"/>
      <w:b/>
      <w:bCs/>
      <w:color w:val="000000"/>
    </w:rPr>
  </w:style>
  <w:style w:type="character" w:customStyle="1" w:styleId="MTEquationSection">
    <w:name w:val="MTEquationSection"/>
    <w:basedOn w:val="DefaultParagraphFont"/>
    <w:rPr>
      <w:noProof/>
      <w:vanish/>
      <w:color w:val="FF0000"/>
    </w:rPr>
  </w:style>
  <w:style w:type="paragraph" w:customStyle="1" w:styleId="Pa18">
    <w:name w:val="Pa18"/>
    <w:basedOn w:val="Default"/>
    <w:next w:val="Default"/>
    <w:pPr>
      <w:spacing w:line="201" w:lineRule="atLeast"/>
    </w:pPr>
    <w:rPr>
      <w:rFonts w:ascii="Univers 47 CondensedLight" w:eastAsia="SimSun" w:hAnsi="Univers 47 CondensedLight"/>
      <w:color w:val="auto"/>
      <w:lang w:eastAsia="zh-CN"/>
    </w:rPr>
  </w:style>
  <w:style w:type="character" w:customStyle="1" w:styleId="BodyTextChar">
    <w:name w:val="Body Text Char"/>
    <w:basedOn w:val="DefaultParagraphFont"/>
    <w:link w:val="BodyText"/>
    <w:rsid w:val="00C17305"/>
    <w:rPr>
      <w:rFonts w:ascii="Garamond" w:hAnsi="Garamond"/>
      <w:color w:val="000000"/>
      <w:sz w:val="24"/>
      <w:szCs w:val="21"/>
      <w:lang w:val="en-US" w:eastAsia="en-US" w:bidi="ar-SA"/>
    </w:rPr>
  </w:style>
  <w:style w:type="character" w:customStyle="1" w:styleId="Heading2Char">
    <w:name w:val="Heading 2 Char"/>
    <w:basedOn w:val="DefaultParagraphFont"/>
    <w:link w:val="Heading2"/>
    <w:rsid w:val="00A34D78"/>
    <w:rPr>
      <w:rFonts w:ascii="Franklin Gothic Heavy" w:hAnsi="Franklin Gothic Heavy"/>
      <w:color w:val="011C67"/>
      <w:spacing w:val="4"/>
      <w:sz w:val="28"/>
      <w:szCs w:val="28"/>
    </w:rPr>
  </w:style>
  <w:style w:type="paragraph" w:styleId="ListParagraph">
    <w:name w:val="List Paragraph"/>
    <w:basedOn w:val="Normal"/>
    <w:qFormat/>
    <w:pPr>
      <w:ind w:left="720"/>
    </w:pPr>
  </w:style>
  <w:style w:type="paragraph" w:customStyle="1" w:styleId="ArlBody">
    <w:name w:val="Arl_Body"/>
    <w:basedOn w:val="BodyText"/>
    <w:link w:val="ArlBodyChar"/>
    <w:qFormat/>
    <w:pPr>
      <w:jc w:val="both"/>
    </w:pPr>
  </w:style>
  <w:style w:type="paragraph" w:customStyle="1" w:styleId="odyLinespacingsingle">
    <w:name w:val="ody + Line spacing:  single"/>
    <w:basedOn w:val="Normal"/>
    <w:pPr>
      <w:numPr>
        <w:numId w:val="18"/>
      </w:numPr>
      <w:spacing w:line="240" w:lineRule="auto"/>
    </w:pPr>
    <w:rPr>
      <w:szCs w:val="22"/>
    </w:rPr>
  </w:style>
  <w:style w:type="character" w:customStyle="1" w:styleId="ArlBodyChar">
    <w:name w:val="Arl_Body Char"/>
    <w:basedOn w:val="BodyTextChar"/>
    <w:link w:val="ArlBody"/>
    <w:rPr>
      <w:rFonts w:ascii="Garamond" w:hAnsi="Garamond"/>
      <w:color w:val="000000"/>
      <w:sz w:val="24"/>
      <w:szCs w:val="21"/>
      <w:lang w:val="en-US" w:eastAsia="en-US" w:bidi="ar-SA"/>
    </w:rPr>
  </w:style>
  <w:style w:type="character" w:customStyle="1" w:styleId="FooterChar">
    <w:name w:val="Footer Char"/>
    <w:basedOn w:val="DefaultParagraphFont"/>
    <w:link w:val="Footer"/>
    <w:uiPriority w:val="99"/>
    <w:rPr>
      <w:sz w:val="22"/>
    </w:rPr>
  </w:style>
  <w:style w:type="paragraph" w:customStyle="1" w:styleId="ListBullet20">
    <w:name w:val="ListBullet2"/>
    <w:basedOn w:val="Normal"/>
    <w:pPr>
      <w:numPr>
        <w:numId w:val="19"/>
      </w:numPr>
      <w:spacing w:before="80" w:after="80" w:line="240" w:lineRule="auto"/>
      <w:ind w:right="360"/>
    </w:pPr>
  </w:style>
  <w:style w:type="character" w:customStyle="1" w:styleId="Heading4Char">
    <w:name w:val="Heading 4 Char"/>
    <w:basedOn w:val="DefaultParagraphFont"/>
    <w:link w:val="Heading4"/>
    <w:rsid w:val="003307D3"/>
    <w:rPr>
      <w:rFonts w:ascii="Franklin Gothic Heavy" w:hAnsi="Franklin Gothic Heavy"/>
      <w:color w:val="011C67"/>
      <w:sz w:val="22"/>
    </w:rPr>
  </w:style>
  <w:style w:type="character" w:customStyle="1" w:styleId="Heading3Char">
    <w:name w:val="Heading 3 Char"/>
    <w:basedOn w:val="DefaultParagraphFont"/>
    <w:link w:val="Heading3"/>
    <w:rsid w:val="00171A78"/>
    <w:rPr>
      <w:rFonts w:ascii="Franklin Gothic Heavy" w:hAnsi="Franklin Gothic Heavy"/>
      <w:color w:val="011C67"/>
      <w:sz w:val="26"/>
      <w:szCs w:val="26"/>
    </w:rPr>
  </w:style>
  <w:style w:type="paragraph" w:customStyle="1" w:styleId="mjwHeading3">
    <w:name w:val="mjw Heading 3"/>
    <w:basedOn w:val="Heading3"/>
    <w:pPr>
      <w:numPr>
        <w:ilvl w:val="0"/>
        <w:numId w:val="0"/>
      </w:numPr>
      <w:spacing w:before="100" w:after="100"/>
      <w:ind w:left="576" w:hanging="576"/>
      <w:jc w:val="both"/>
    </w:pPr>
    <w:rPr>
      <w:rFonts w:ascii="Albertus Medium" w:hAnsi="Albertus Medium"/>
      <w:b/>
      <w:bCs/>
      <w:color w:val="auto"/>
      <w:sz w:val="20"/>
      <w:szCs w:val="20"/>
    </w:rPr>
  </w:style>
  <w:style w:type="paragraph" w:customStyle="1" w:styleId="Normal0">
    <w:name w:val="Normal+"/>
    <w:basedOn w:val="Normal"/>
    <w:pPr>
      <w:spacing w:after="240" w:line="300" w:lineRule="auto"/>
    </w:pPr>
    <w:rPr>
      <w:snapToGrid w:val="0"/>
      <w:sz w:val="24"/>
    </w:rPr>
  </w:style>
  <w:style w:type="paragraph" w:customStyle="1" w:styleId="normalbody">
    <w:name w:val="normalbody"/>
    <w:basedOn w:val="Normal"/>
    <w:link w:val="normalbodyChar"/>
    <w:pPr>
      <w:spacing w:before="100" w:after="100" w:line="240" w:lineRule="auto"/>
    </w:pPr>
  </w:style>
  <w:style w:type="character" w:customStyle="1" w:styleId="HTMLPreformattedChar">
    <w:name w:val="HTML Preformatted Char"/>
    <w:basedOn w:val="DefaultParagraphFont"/>
    <w:link w:val="HTMLPreformatted"/>
    <w:uiPriority w:val="99"/>
    <w:rPr>
      <w:rFonts w:ascii="Courier New" w:hAnsi="Courier New" w:cs="Courier New"/>
    </w:rPr>
  </w:style>
  <w:style w:type="paragraph" w:customStyle="1" w:styleId="reference">
    <w:name w:val="reference"/>
    <w:basedOn w:val="normalbody"/>
    <w:pPr>
      <w:ind w:left="360" w:hanging="360"/>
    </w:pPr>
  </w:style>
  <w:style w:type="paragraph" w:styleId="TOCHeading">
    <w:name w:val="TOC Heading"/>
    <w:basedOn w:val="Heading1"/>
    <w:next w:val="Normal"/>
    <w:uiPriority w:val="39"/>
    <w:qFormat/>
    <w:pPr>
      <w:keepLines/>
      <w:numPr>
        <w:numId w:val="0"/>
      </w:numPr>
      <w:pBdr>
        <w:bottom w:val="none" w:sz="0" w:space="0" w:color="auto"/>
      </w:pBdr>
      <w:spacing w:before="480" w:after="0" w:line="276" w:lineRule="auto"/>
      <w:jc w:val="left"/>
      <w:outlineLvl w:val="9"/>
    </w:pPr>
    <w:rPr>
      <w:rFonts w:ascii="Cambria" w:hAnsi="Cambria"/>
      <w:b/>
      <w:bCs/>
      <w:color w:val="365F91"/>
      <w:kern w:val="0"/>
      <w:sz w:val="28"/>
      <w:szCs w:val="28"/>
    </w:rPr>
  </w:style>
  <w:style w:type="paragraph" w:customStyle="1" w:styleId="ExecutiveSummary-Heading2">
    <w:name w:val="Executive Summary - Heading 2"/>
    <w:basedOn w:val="Heading2"/>
    <w:rsid w:val="0056088E"/>
    <w:pPr>
      <w:numPr>
        <w:ilvl w:val="0"/>
        <w:numId w:val="0"/>
      </w:numPr>
      <w:tabs>
        <w:tab w:val="left" w:pos="1008"/>
      </w:tabs>
    </w:pPr>
  </w:style>
  <w:style w:type="paragraph" w:styleId="Revision">
    <w:name w:val="Revision"/>
    <w:hidden/>
    <w:uiPriority w:val="99"/>
    <w:semiHidden/>
    <w:rsid w:val="00A50B73"/>
    <w:rPr>
      <w:sz w:val="22"/>
    </w:rPr>
  </w:style>
  <w:style w:type="character" w:customStyle="1" w:styleId="CommentTextChar">
    <w:name w:val="Comment Text Char"/>
    <w:link w:val="CommentText"/>
    <w:uiPriority w:val="99"/>
    <w:semiHidden/>
    <w:rsid w:val="00DA5618"/>
  </w:style>
  <w:style w:type="paragraph" w:customStyle="1" w:styleId="StyleBodyText12ptJustified">
    <w:name w:val="Style Body Text + 12 pt Justified"/>
    <w:basedOn w:val="BodyText"/>
    <w:rsid w:val="00CF5F88"/>
    <w:pPr>
      <w:jc w:val="both"/>
    </w:pPr>
    <w:rPr>
      <w:rFonts w:asciiTheme="majorHAnsi" w:hAnsiTheme="majorHAnsi"/>
      <w:sz w:val="22"/>
      <w:szCs w:val="20"/>
    </w:rPr>
  </w:style>
  <w:style w:type="character" w:styleId="FootnoteReference">
    <w:name w:val="footnote reference"/>
    <w:basedOn w:val="DefaultParagraphFont"/>
    <w:unhideWhenUsed/>
    <w:rsid w:val="003220A7"/>
    <w:rPr>
      <w:vertAlign w:val="superscript"/>
    </w:rPr>
  </w:style>
  <w:style w:type="character" w:customStyle="1" w:styleId="FootnoteTextChar">
    <w:name w:val="Footnote Text Char"/>
    <w:basedOn w:val="DefaultParagraphFont"/>
    <w:link w:val="FootnoteText"/>
    <w:uiPriority w:val="99"/>
    <w:rsid w:val="00DC096F"/>
  </w:style>
  <w:style w:type="character" w:customStyle="1" w:styleId="normalbodyChar">
    <w:name w:val="normalbody Char"/>
    <w:link w:val="normalbody"/>
    <w:rsid w:val="00F6051F"/>
    <w:rPr>
      <w:sz w:val="22"/>
    </w:rPr>
  </w:style>
  <w:style w:type="character" w:customStyle="1" w:styleId="BalloonTextChar">
    <w:name w:val="Balloon Text Char"/>
    <w:basedOn w:val="DefaultParagraphFont"/>
    <w:link w:val="BalloonText"/>
    <w:uiPriority w:val="99"/>
    <w:semiHidden/>
    <w:rsid w:val="00F6051F"/>
    <w:rPr>
      <w:rFonts w:ascii="Tahoma" w:hAnsi="Tahoma" w:cs="Tahoma"/>
      <w:sz w:val="16"/>
      <w:szCs w:val="16"/>
    </w:rPr>
  </w:style>
  <w:style w:type="paragraph" w:customStyle="1" w:styleId="StyleArlBody12pt">
    <w:name w:val="Style Arl_Body + 12 pt"/>
    <w:basedOn w:val="Normal"/>
    <w:link w:val="StyleArlBody12ptChar"/>
    <w:rsid w:val="00F6051F"/>
    <w:pPr>
      <w:spacing w:before="120" w:after="120" w:line="240" w:lineRule="auto"/>
    </w:pPr>
    <w:rPr>
      <w:rFonts w:ascii="Garamond" w:hAnsi="Garamond"/>
      <w:color w:val="000000"/>
      <w:sz w:val="24"/>
      <w:szCs w:val="21"/>
    </w:rPr>
  </w:style>
  <w:style w:type="character" w:customStyle="1" w:styleId="StyleArlBody12ptChar">
    <w:name w:val="Style Arl_Body + 12 pt Char"/>
    <w:link w:val="StyleArlBody12pt"/>
    <w:rsid w:val="00F6051F"/>
    <w:rPr>
      <w:rFonts w:ascii="Garamond" w:hAnsi="Garamond"/>
      <w:color w:val="000000"/>
      <w:sz w:val="24"/>
      <w:szCs w:val="21"/>
    </w:rPr>
  </w:style>
  <w:style w:type="character" w:customStyle="1" w:styleId="CommentSubjectChar">
    <w:name w:val="Comment Subject Char"/>
    <w:basedOn w:val="CommentTextChar"/>
    <w:link w:val="CommentSubject"/>
    <w:uiPriority w:val="99"/>
    <w:semiHidden/>
    <w:rsid w:val="00F6051F"/>
    <w:rPr>
      <w:b/>
      <w:bCs/>
    </w:rPr>
  </w:style>
  <w:style w:type="character" w:customStyle="1" w:styleId="HeaderChar">
    <w:name w:val="Header Char"/>
    <w:basedOn w:val="DefaultParagraphFont"/>
    <w:link w:val="Header"/>
    <w:uiPriority w:val="99"/>
    <w:rsid w:val="00F6051F"/>
    <w:rPr>
      <w:rFonts w:ascii="Franklin Gothic Book" w:hAnsi="Franklin Gothic Book"/>
      <w:color w:val="000000"/>
    </w:rPr>
  </w:style>
  <w:style w:type="paragraph" w:customStyle="1" w:styleId="References">
    <w:name w:val="References"/>
    <w:basedOn w:val="StyleBodyText12ptJustified"/>
    <w:qFormat/>
    <w:rsid w:val="0091138E"/>
    <w:pPr>
      <w:spacing w:before="100" w:after="100"/>
      <w:ind w:left="720" w:hanging="720"/>
    </w:pPr>
  </w:style>
  <w:style w:type="paragraph" w:customStyle="1" w:styleId="Reference0">
    <w:name w:val="Reference"/>
    <w:basedOn w:val="StyleBodyText12ptJustified"/>
    <w:qFormat/>
    <w:rsid w:val="0091138E"/>
    <w:pPr>
      <w:spacing w:before="120" w:after="120"/>
      <w:ind w:left="720" w:hanging="720"/>
    </w:pPr>
  </w:style>
  <w:style w:type="table" w:styleId="TableGrid">
    <w:name w:val="Table Grid"/>
    <w:basedOn w:val="TableNormal"/>
    <w:rsid w:val="0085527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uiPriority w:val="99"/>
    <w:locked/>
    <w:rsid w:val="00A1627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6232">
      <w:bodyDiv w:val="1"/>
      <w:marLeft w:val="0"/>
      <w:marRight w:val="0"/>
      <w:marTop w:val="0"/>
      <w:marBottom w:val="0"/>
      <w:divBdr>
        <w:top w:val="none" w:sz="0" w:space="0" w:color="auto"/>
        <w:left w:val="none" w:sz="0" w:space="0" w:color="auto"/>
        <w:bottom w:val="none" w:sz="0" w:space="0" w:color="auto"/>
        <w:right w:val="none" w:sz="0" w:space="0" w:color="auto"/>
      </w:divBdr>
    </w:div>
    <w:div w:id="119567737">
      <w:bodyDiv w:val="1"/>
      <w:marLeft w:val="0"/>
      <w:marRight w:val="0"/>
      <w:marTop w:val="0"/>
      <w:marBottom w:val="0"/>
      <w:divBdr>
        <w:top w:val="none" w:sz="0" w:space="0" w:color="auto"/>
        <w:left w:val="none" w:sz="0" w:space="0" w:color="auto"/>
        <w:bottom w:val="none" w:sz="0" w:space="0" w:color="auto"/>
        <w:right w:val="none" w:sz="0" w:space="0" w:color="auto"/>
      </w:divBdr>
    </w:div>
    <w:div w:id="221253183">
      <w:bodyDiv w:val="1"/>
      <w:marLeft w:val="0"/>
      <w:marRight w:val="0"/>
      <w:marTop w:val="0"/>
      <w:marBottom w:val="0"/>
      <w:divBdr>
        <w:top w:val="none" w:sz="0" w:space="0" w:color="auto"/>
        <w:left w:val="none" w:sz="0" w:space="0" w:color="auto"/>
        <w:bottom w:val="none" w:sz="0" w:space="0" w:color="auto"/>
        <w:right w:val="none" w:sz="0" w:space="0" w:color="auto"/>
      </w:divBdr>
    </w:div>
    <w:div w:id="437407426">
      <w:bodyDiv w:val="1"/>
      <w:marLeft w:val="0"/>
      <w:marRight w:val="0"/>
      <w:marTop w:val="0"/>
      <w:marBottom w:val="0"/>
      <w:divBdr>
        <w:top w:val="none" w:sz="0" w:space="0" w:color="auto"/>
        <w:left w:val="none" w:sz="0" w:space="0" w:color="auto"/>
        <w:bottom w:val="none" w:sz="0" w:space="0" w:color="auto"/>
        <w:right w:val="none" w:sz="0" w:space="0" w:color="auto"/>
      </w:divBdr>
    </w:div>
    <w:div w:id="505174159">
      <w:bodyDiv w:val="1"/>
      <w:marLeft w:val="0"/>
      <w:marRight w:val="0"/>
      <w:marTop w:val="0"/>
      <w:marBottom w:val="0"/>
      <w:divBdr>
        <w:top w:val="none" w:sz="0" w:space="0" w:color="auto"/>
        <w:left w:val="none" w:sz="0" w:space="0" w:color="auto"/>
        <w:bottom w:val="none" w:sz="0" w:space="0" w:color="auto"/>
        <w:right w:val="none" w:sz="0" w:space="0" w:color="auto"/>
      </w:divBdr>
    </w:div>
    <w:div w:id="531845486">
      <w:bodyDiv w:val="1"/>
      <w:marLeft w:val="0"/>
      <w:marRight w:val="0"/>
      <w:marTop w:val="0"/>
      <w:marBottom w:val="0"/>
      <w:divBdr>
        <w:top w:val="none" w:sz="0" w:space="0" w:color="auto"/>
        <w:left w:val="none" w:sz="0" w:space="0" w:color="auto"/>
        <w:bottom w:val="none" w:sz="0" w:space="0" w:color="auto"/>
        <w:right w:val="none" w:sz="0" w:space="0" w:color="auto"/>
      </w:divBdr>
    </w:div>
    <w:div w:id="711228486">
      <w:bodyDiv w:val="1"/>
      <w:marLeft w:val="0"/>
      <w:marRight w:val="0"/>
      <w:marTop w:val="0"/>
      <w:marBottom w:val="0"/>
      <w:divBdr>
        <w:top w:val="none" w:sz="0" w:space="0" w:color="auto"/>
        <w:left w:val="none" w:sz="0" w:space="0" w:color="auto"/>
        <w:bottom w:val="none" w:sz="0" w:space="0" w:color="auto"/>
        <w:right w:val="none" w:sz="0" w:space="0" w:color="auto"/>
      </w:divBdr>
    </w:div>
    <w:div w:id="798261217">
      <w:bodyDiv w:val="1"/>
      <w:marLeft w:val="0"/>
      <w:marRight w:val="0"/>
      <w:marTop w:val="0"/>
      <w:marBottom w:val="0"/>
      <w:divBdr>
        <w:top w:val="none" w:sz="0" w:space="0" w:color="auto"/>
        <w:left w:val="none" w:sz="0" w:space="0" w:color="auto"/>
        <w:bottom w:val="none" w:sz="0" w:space="0" w:color="auto"/>
        <w:right w:val="none" w:sz="0" w:space="0" w:color="auto"/>
      </w:divBdr>
    </w:div>
    <w:div w:id="1128670700">
      <w:bodyDiv w:val="1"/>
      <w:marLeft w:val="0"/>
      <w:marRight w:val="0"/>
      <w:marTop w:val="0"/>
      <w:marBottom w:val="0"/>
      <w:divBdr>
        <w:top w:val="none" w:sz="0" w:space="0" w:color="auto"/>
        <w:left w:val="none" w:sz="0" w:space="0" w:color="auto"/>
        <w:bottom w:val="none" w:sz="0" w:space="0" w:color="auto"/>
        <w:right w:val="none" w:sz="0" w:space="0" w:color="auto"/>
      </w:divBdr>
    </w:div>
    <w:div w:id="1147435593">
      <w:bodyDiv w:val="1"/>
      <w:marLeft w:val="0"/>
      <w:marRight w:val="0"/>
      <w:marTop w:val="0"/>
      <w:marBottom w:val="0"/>
      <w:divBdr>
        <w:top w:val="none" w:sz="0" w:space="0" w:color="auto"/>
        <w:left w:val="none" w:sz="0" w:space="0" w:color="auto"/>
        <w:bottom w:val="none" w:sz="0" w:space="0" w:color="auto"/>
        <w:right w:val="none" w:sz="0" w:space="0" w:color="auto"/>
      </w:divBdr>
    </w:div>
    <w:div w:id="1377201412">
      <w:bodyDiv w:val="1"/>
      <w:marLeft w:val="0"/>
      <w:marRight w:val="0"/>
      <w:marTop w:val="0"/>
      <w:marBottom w:val="0"/>
      <w:divBdr>
        <w:top w:val="none" w:sz="0" w:space="0" w:color="auto"/>
        <w:left w:val="none" w:sz="0" w:space="0" w:color="auto"/>
        <w:bottom w:val="none" w:sz="0" w:space="0" w:color="auto"/>
        <w:right w:val="none" w:sz="0" w:space="0" w:color="auto"/>
      </w:divBdr>
    </w:div>
    <w:div w:id="1452170056">
      <w:bodyDiv w:val="1"/>
      <w:marLeft w:val="0"/>
      <w:marRight w:val="0"/>
      <w:marTop w:val="0"/>
      <w:marBottom w:val="0"/>
      <w:divBdr>
        <w:top w:val="none" w:sz="0" w:space="0" w:color="auto"/>
        <w:left w:val="none" w:sz="0" w:space="0" w:color="auto"/>
        <w:bottom w:val="none" w:sz="0" w:space="0" w:color="auto"/>
        <w:right w:val="none" w:sz="0" w:space="0" w:color="auto"/>
      </w:divBdr>
    </w:div>
    <w:div w:id="1532185226">
      <w:bodyDiv w:val="1"/>
      <w:marLeft w:val="0"/>
      <w:marRight w:val="0"/>
      <w:marTop w:val="0"/>
      <w:marBottom w:val="0"/>
      <w:divBdr>
        <w:top w:val="none" w:sz="0" w:space="0" w:color="auto"/>
        <w:left w:val="none" w:sz="0" w:space="0" w:color="auto"/>
        <w:bottom w:val="none" w:sz="0" w:space="0" w:color="auto"/>
        <w:right w:val="none" w:sz="0" w:space="0" w:color="auto"/>
      </w:divBdr>
    </w:div>
    <w:div w:id="1555046578">
      <w:bodyDiv w:val="1"/>
      <w:marLeft w:val="0"/>
      <w:marRight w:val="0"/>
      <w:marTop w:val="0"/>
      <w:marBottom w:val="0"/>
      <w:divBdr>
        <w:top w:val="none" w:sz="0" w:space="0" w:color="auto"/>
        <w:left w:val="none" w:sz="0" w:space="0" w:color="auto"/>
        <w:bottom w:val="none" w:sz="0" w:space="0" w:color="auto"/>
        <w:right w:val="none" w:sz="0" w:space="0" w:color="auto"/>
      </w:divBdr>
    </w:div>
    <w:div w:id="1606159127">
      <w:bodyDiv w:val="1"/>
      <w:marLeft w:val="0"/>
      <w:marRight w:val="0"/>
      <w:marTop w:val="0"/>
      <w:marBottom w:val="0"/>
      <w:divBdr>
        <w:top w:val="none" w:sz="0" w:space="0" w:color="auto"/>
        <w:left w:val="none" w:sz="0" w:space="0" w:color="auto"/>
        <w:bottom w:val="none" w:sz="0" w:space="0" w:color="auto"/>
        <w:right w:val="none" w:sz="0" w:space="0" w:color="auto"/>
      </w:divBdr>
    </w:div>
    <w:div w:id="1620408621">
      <w:bodyDiv w:val="1"/>
      <w:marLeft w:val="0"/>
      <w:marRight w:val="0"/>
      <w:marTop w:val="0"/>
      <w:marBottom w:val="0"/>
      <w:divBdr>
        <w:top w:val="none" w:sz="0" w:space="0" w:color="auto"/>
        <w:left w:val="none" w:sz="0" w:space="0" w:color="auto"/>
        <w:bottom w:val="none" w:sz="0" w:space="0" w:color="auto"/>
        <w:right w:val="none" w:sz="0" w:space="0" w:color="auto"/>
      </w:divBdr>
    </w:div>
    <w:div w:id="1661885195">
      <w:bodyDiv w:val="1"/>
      <w:marLeft w:val="0"/>
      <w:marRight w:val="0"/>
      <w:marTop w:val="0"/>
      <w:marBottom w:val="0"/>
      <w:divBdr>
        <w:top w:val="none" w:sz="0" w:space="0" w:color="auto"/>
        <w:left w:val="none" w:sz="0" w:space="0" w:color="auto"/>
        <w:bottom w:val="none" w:sz="0" w:space="0" w:color="auto"/>
        <w:right w:val="none" w:sz="0" w:space="0" w:color="auto"/>
      </w:divBdr>
      <w:divsChild>
        <w:div w:id="430054241">
          <w:marLeft w:val="0"/>
          <w:marRight w:val="0"/>
          <w:marTop w:val="0"/>
          <w:marBottom w:val="0"/>
          <w:divBdr>
            <w:top w:val="none" w:sz="0" w:space="0" w:color="auto"/>
            <w:left w:val="none" w:sz="0" w:space="0" w:color="auto"/>
            <w:bottom w:val="none" w:sz="0" w:space="0" w:color="auto"/>
            <w:right w:val="none" w:sz="0" w:space="0" w:color="auto"/>
          </w:divBdr>
          <w:divsChild>
            <w:div w:id="1408379821">
              <w:marLeft w:val="0"/>
              <w:marRight w:val="0"/>
              <w:marTop w:val="0"/>
              <w:marBottom w:val="0"/>
              <w:divBdr>
                <w:top w:val="none" w:sz="0" w:space="0" w:color="auto"/>
                <w:left w:val="none" w:sz="0" w:space="0" w:color="auto"/>
                <w:bottom w:val="none" w:sz="0" w:space="0" w:color="auto"/>
                <w:right w:val="none" w:sz="0" w:space="0" w:color="auto"/>
              </w:divBdr>
              <w:divsChild>
                <w:div w:id="60785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467234">
      <w:bodyDiv w:val="1"/>
      <w:marLeft w:val="0"/>
      <w:marRight w:val="0"/>
      <w:marTop w:val="0"/>
      <w:marBottom w:val="0"/>
      <w:divBdr>
        <w:top w:val="none" w:sz="0" w:space="0" w:color="auto"/>
        <w:left w:val="none" w:sz="0" w:space="0" w:color="auto"/>
        <w:bottom w:val="none" w:sz="0" w:space="0" w:color="auto"/>
        <w:right w:val="none" w:sz="0" w:space="0" w:color="auto"/>
      </w:divBdr>
    </w:div>
    <w:div w:id="1691029863">
      <w:bodyDiv w:val="1"/>
      <w:marLeft w:val="0"/>
      <w:marRight w:val="0"/>
      <w:marTop w:val="0"/>
      <w:marBottom w:val="0"/>
      <w:divBdr>
        <w:top w:val="none" w:sz="0" w:space="0" w:color="auto"/>
        <w:left w:val="none" w:sz="0" w:space="0" w:color="auto"/>
        <w:bottom w:val="none" w:sz="0" w:space="0" w:color="auto"/>
        <w:right w:val="none" w:sz="0" w:space="0" w:color="auto"/>
      </w:divBdr>
    </w:div>
    <w:div w:id="1733458149">
      <w:bodyDiv w:val="1"/>
      <w:marLeft w:val="0"/>
      <w:marRight w:val="0"/>
      <w:marTop w:val="0"/>
      <w:marBottom w:val="0"/>
      <w:divBdr>
        <w:top w:val="none" w:sz="0" w:space="0" w:color="auto"/>
        <w:left w:val="none" w:sz="0" w:space="0" w:color="auto"/>
        <w:bottom w:val="none" w:sz="0" w:space="0" w:color="auto"/>
        <w:right w:val="none" w:sz="0" w:space="0" w:color="auto"/>
      </w:divBdr>
    </w:div>
    <w:div w:id="1777826141">
      <w:bodyDiv w:val="1"/>
      <w:marLeft w:val="0"/>
      <w:marRight w:val="0"/>
      <w:marTop w:val="0"/>
      <w:marBottom w:val="0"/>
      <w:divBdr>
        <w:top w:val="none" w:sz="0" w:space="0" w:color="auto"/>
        <w:left w:val="none" w:sz="0" w:space="0" w:color="auto"/>
        <w:bottom w:val="none" w:sz="0" w:space="0" w:color="auto"/>
        <w:right w:val="none" w:sz="0" w:space="0" w:color="auto"/>
      </w:divBdr>
    </w:div>
    <w:div w:id="1785879493">
      <w:bodyDiv w:val="1"/>
      <w:marLeft w:val="0"/>
      <w:marRight w:val="0"/>
      <w:marTop w:val="0"/>
      <w:marBottom w:val="0"/>
      <w:divBdr>
        <w:top w:val="none" w:sz="0" w:space="0" w:color="auto"/>
        <w:left w:val="none" w:sz="0" w:space="0" w:color="auto"/>
        <w:bottom w:val="none" w:sz="0" w:space="0" w:color="auto"/>
        <w:right w:val="none" w:sz="0" w:space="0" w:color="auto"/>
      </w:divBdr>
    </w:div>
    <w:div w:id="1793864596">
      <w:bodyDiv w:val="1"/>
      <w:marLeft w:val="0"/>
      <w:marRight w:val="0"/>
      <w:marTop w:val="0"/>
      <w:marBottom w:val="0"/>
      <w:divBdr>
        <w:top w:val="none" w:sz="0" w:space="0" w:color="auto"/>
        <w:left w:val="none" w:sz="0" w:space="0" w:color="auto"/>
        <w:bottom w:val="none" w:sz="0" w:space="0" w:color="auto"/>
        <w:right w:val="none" w:sz="0" w:space="0" w:color="auto"/>
      </w:divBdr>
    </w:div>
    <w:div w:id="201814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footer" Target="footer5.xml"/><Relationship Id="rId39" Type="http://schemas.microsoft.com/office/2011/relationships/people" Target="people.xml"/><Relationship Id="rId21" Type="http://schemas.openxmlformats.org/officeDocument/2006/relationships/header" Target="header5.xml"/><Relationship Id="rId34"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eader" Target="header9.xml"/><Relationship Id="rId33" Type="http://schemas.openxmlformats.org/officeDocument/2006/relationships/header" Target="header1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ater.bhfs.com/sgmadesktopreference/" TargetMode="External"/><Relationship Id="rId20" Type="http://schemas.openxmlformats.org/officeDocument/2006/relationships/header" Target="header4.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header" Target="header8.xml"/><Relationship Id="rId32" Type="http://schemas.openxmlformats.org/officeDocument/2006/relationships/header" Target="header11.xml"/><Relationship Id="rId37" Type="http://schemas.openxmlformats.org/officeDocument/2006/relationships/header" Target="header1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7.xml"/><Relationship Id="rId28" Type="http://schemas.microsoft.com/office/2011/relationships/commentsExtended" Target="commentsExtended.xml"/><Relationship Id="rId36" Type="http://schemas.openxmlformats.org/officeDocument/2006/relationships/footer" Target="footer6.xml"/><Relationship Id="rId10" Type="http://schemas.openxmlformats.org/officeDocument/2006/relationships/image" Target="media/image3.tif"/><Relationship Id="rId19" Type="http://schemas.openxmlformats.org/officeDocument/2006/relationships/footer" Target="footer4.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comments" Target="comments.xml"/><Relationship Id="rId30" Type="http://schemas.microsoft.com/office/2018/08/relationships/commentsExtensible" Target="commentsExtensible.xml"/><Relationship Id="rId35" Type="http://schemas.openxmlformats.org/officeDocument/2006/relationships/header" Target="header14.xml"/><Relationship Id="rId8" Type="http://schemas.openxmlformats.org/officeDocument/2006/relationships/image" Target="media/image1.jpeg"/><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3" Type="http://schemas.openxmlformats.org/officeDocument/2006/relationships/image" Target="media/image8.emf"/><Relationship Id="rId2" Type="http://schemas.openxmlformats.org/officeDocument/2006/relationships/image" Target="media/image7.png"/><Relationship Id="rId1" Type="http://schemas.openxmlformats.org/officeDocument/2006/relationships/image" Target="media/image6.emf"/><Relationship Id="rId4" Type="http://schemas.openxmlformats.org/officeDocument/2006/relationships/image" Target="media/image9.png"/></Relationships>
</file>

<file path=word/_rels/footer4.xml.rels><?xml version="1.0" encoding="UTF-8" standalone="yes"?>
<Relationships xmlns="http://schemas.openxmlformats.org/package/2006/relationships"><Relationship Id="rId3" Type="http://schemas.openxmlformats.org/officeDocument/2006/relationships/image" Target="media/image8.emf"/><Relationship Id="rId2" Type="http://schemas.openxmlformats.org/officeDocument/2006/relationships/image" Target="media/image7.png"/><Relationship Id="rId1" Type="http://schemas.openxmlformats.org/officeDocument/2006/relationships/image" Target="media/image6.emf"/><Relationship Id="rId4" Type="http://schemas.openxmlformats.org/officeDocument/2006/relationships/image" Target="media/image9.png"/></Relationships>
</file>

<file path=word/_rels/footer5.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emf"/></Relationships>
</file>

<file path=word/_rels/footnotes.xml.rels><?xml version="1.0" encoding="UTF-8" standalone="yes"?>
<Relationships xmlns="http://schemas.openxmlformats.org/package/2006/relationships"><Relationship Id="rId2" Type="http://schemas.openxmlformats.org/officeDocument/2006/relationships/hyperlink" Target="http://water.bhfs.com/sgmadesktopreference/" TargetMode="External"/><Relationship Id="rId1" Type="http://schemas.openxmlformats.org/officeDocument/2006/relationships/hyperlink" Target="http://www.waterboards.ca.gov/santaana/water_issues/programs/basin_plan/index.s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_rels/header9.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S:\WEI%20Templates\WEI%20Report%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A8CAB-9063-4AC3-A75C-C16BA0A85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WEI Report Template v2</Template>
  <TotalTime>1</TotalTime>
  <Pages>3</Pages>
  <Words>12130</Words>
  <Characters>69141</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Section Name</vt:lpstr>
    </vt:vector>
  </TitlesOfParts>
  <Company>Wildermuth Environmental, Inc.</Company>
  <LinksUpToDate>false</LinksUpToDate>
  <CharactersWithSpaces>81109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Name</dc:title>
  <dc:creator>Tim Wildermuth</dc:creator>
  <cp:lastModifiedBy>Maureen Reilly</cp:lastModifiedBy>
  <cp:revision>2</cp:revision>
  <cp:lastPrinted>2015-08-06T22:17:00Z</cp:lastPrinted>
  <dcterms:created xsi:type="dcterms:W3CDTF">2022-01-03T21:45:00Z</dcterms:created>
  <dcterms:modified xsi:type="dcterms:W3CDTF">2022-01-03T21:45:00Z</dcterms:modified>
</cp:coreProperties>
</file>