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BB359" w14:textId="48C9238F" w:rsidR="00A03F8C" w:rsidRPr="00960BFB" w:rsidRDefault="00960BFB" w:rsidP="00960BFB">
      <w:pPr>
        <w:jc w:val="center"/>
        <w:rPr>
          <w:rFonts w:ascii="Arial" w:hAnsi="Arial" w:cs="Arial"/>
          <w:sz w:val="24"/>
          <w:szCs w:val="24"/>
          <w:u w:val="single"/>
        </w:rPr>
      </w:pPr>
      <w:r w:rsidRPr="00960BFB">
        <w:rPr>
          <w:rFonts w:ascii="Arial" w:hAnsi="Arial" w:cs="Arial"/>
          <w:sz w:val="24"/>
          <w:szCs w:val="24"/>
          <w:u w:val="single"/>
        </w:rPr>
        <w:t>List of Interested Parties</w:t>
      </w:r>
    </w:p>
    <w:p w14:paraId="6765FC3D" w14:textId="60605F44" w:rsidR="00960BFB" w:rsidRDefault="00960BFB" w:rsidP="00960BFB">
      <w:pPr>
        <w:rPr>
          <w:sz w:val="24"/>
          <w:szCs w:val="24"/>
        </w:rPr>
      </w:pPr>
      <w:r>
        <w:rPr>
          <w:sz w:val="24"/>
          <w:szCs w:val="24"/>
        </w:rPr>
        <w:t xml:space="preserve">Southern San Joaquin Municipal Utility District (District) has complied with the Sustainable Groundwater Management Act (SGMA) through its participation in the Kern Groundwater Authority (KGA) GSA. As a member of the KGA, the District has developed and adopted a Management Area Plan (MAP) or otherwise referred to as a “Chapter” in the KGA’s Umbrella GSP for the Kern County Groundwater Subbasin (Subbasin). In developing the MAP, the District held public meetings and participated in KGA public meetings that considered the interests of all relevant parties. Similarly, informing the GSA, the District held a public hearing during which the public </w:t>
      </w:r>
      <w:r w:rsidR="003646F4">
        <w:rPr>
          <w:sz w:val="24"/>
          <w:szCs w:val="24"/>
        </w:rPr>
        <w:t>was invited to participate. Specifically, the District considered the interest of the following beneficial uses and users, and pursuant to Water Code section 10723.2, established this list of interested parties:</w:t>
      </w:r>
    </w:p>
    <w:p w14:paraId="1330DD9D" w14:textId="46FB33D9" w:rsidR="003646F4" w:rsidRDefault="003646F4" w:rsidP="003646F4">
      <w:pPr>
        <w:pStyle w:val="ListParagraph"/>
        <w:numPr>
          <w:ilvl w:val="0"/>
          <w:numId w:val="3"/>
        </w:numPr>
        <w:rPr>
          <w:sz w:val="24"/>
          <w:szCs w:val="24"/>
        </w:rPr>
      </w:pPr>
      <w:r>
        <w:rPr>
          <w:sz w:val="24"/>
          <w:szCs w:val="24"/>
        </w:rPr>
        <w:t>Holders of overlying Groundwater Rights:</w:t>
      </w:r>
    </w:p>
    <w:p w14:paraId="2E00DB08" w14:textId="6E87CD26" w:rsidR="003646F4" w:rsidRDefault="003646F4" w:rsidP="003646F4">
      <w:pPr>
        <w:pStyle w:val="ListParagraph"/>
        <w:numPr>
          <w:ilvl w:val="1"/>
          <w:numId w:val="3"/>
        </w:numPr>
        <w:rPr>
          <w:sz w:val="24"/>
          <w:szCs w:val="24"/>
        </w:rPr>
      </w:pPr>
      <w:r>
        <w:rPr>
          <w:sz w:val="24"/>
          <w:szCs w:val="24"/>
        </w:rPr>
        <w:t>Agricultural Users: The District’s proposed GSA management area consists of lands which are primarily agricultural properties. The District maintains a list of all landowners within the District.</w:t>
      </w:r>
    </w:p>
    <w:p w14:paraId="6AD61008" w14:textId="5FD6D940" w:rsidR="003646F4" w:rsidRDefault="003646F4" w:rsidP="003646F4">
      <w:pPr>
        <w:pStyle w:val="ListParagraph"/>
        <w:numPr>
          <w:ilvl w:val="1"/>
          <w:numId w:val="3"/>
        </w:numPr>
        <w:rPr>
          <w:sz w:val="24"/>
          <w:szCs w:val="24"/>
        </w:rPr>
      </w:pPr>
      <w:r>
        <w:rPr>
          <w:sz w:val="24"/>
          <w:szCs w:val="24"/>
        </w:rPr>
        <w:t>Domestic Well Owners. There are domestic wells within the proposed GSA. However, most domestic well users are “de minimis extractors” as they do not extract more than 2 acre-feet per year but are included as interested parties.</w:t>
      </w:r>
    </w:p>
    <w:p w14:paraId="505965DC" w14:textId="7EB3B282" w:rsidR="003646F4" w:rsidRDefault="003646F4" w:rsidP="003646F4">
      <w:pPr>
        <w:pStyle w:val="ListParagraph"/>
        <w:numPr>
          <w:ilvl w:val="0"/>
          <w:numId w:val="3"/>
        </w:numPr>
        <w:rPr>
          <w:sz w:val="24"/>
          <w:szCs w:val="24"/>
        </w:rPr>
      </w:pPr>
      <w:r>
        <w:rPr>
          <w:sz w:val="24"/>
          <w:szCs w:val="24"/>
        </w:rPr>
        <w:t>Municipal</w:t>
      </w:r>
      <w:r w:rsidR="00755975">
        <w:rPr>
          <w:sz w:val="24"/>
          <w:szCs w:val="24"/>
        </w:rPr>
        <w:t>/Industrial</w:t>
      </w:r>
      <w:r>
        <w:rPr>
          <w:sz w:val="24"/>
          <w:szCs w:val="24"/>
        </w:rPr>
        <w:t xml:space="preserve"> Well Operators:</w:t>
      </w:r>
    </w:p>
    <w:p w14:paraId="43492B40" w14:textId="208F2004" w:rsidR="003646F4" w:rsidRDefault="003646F4" w:rsidP="003646F4">
      <w:pPr>
        <w:pStyle w:val="ListParagraph"/>
        <w:numPr>
          <w:ilvl w:val="1"/>
          <w:numId w:val="3"/>
        </w:numPr>
        <w:rPr>
          <w:sz w:val="24"/>
          <w:szCs w:val="24"/>
        </w:rPr>
      </w:pPr>
      <w:r>
        <w:rPr>
          <w:sz w:val="24"/>
          <w:szCs w:val="24"/>
        </w:rPr>
        <w:t>City of Delano</w:t>
      </w:r>
    </w:p>
    <w:p w14:paraId="2DCBF612" w14:textId="353AD7CA" w:rsidR="003646F4" w:rsidRDefault="003646F4" w:rsidP="003646F4">
      <w:pPr>
        <w:pStyle w:val="ListParagraph"/>
        <w:numPr>
          <w:ilvl w:val="1"/>
          <w:numId w:val="3"/>
        </w:numPr>
        <w:rPr>
          <w:sz w:val="24"/>
          <w:szCs w:val="24"/>
        </w:rPr>
      </w:pPr>
      <w:r>
        <w:rPr>
          <w:sz w:val="24"/>
          <w:szCs w:val="24"/>
        </w:rPr>
        <w:t>City of McFarland</w:t>
      </w:r>
    </w:p>
    <w:p w14:paraId="2D7534C1" w14:textId="70CD43DB" w:rsidR="003646F4" w:rsidRDefault="00755975" w:rsidP="003646F4">
      <w:pPr>
        <w:pStyle w:val="ListParagraph"/>
        <w:numPr>
          <w:ilvl w:val="1"/>
          <w:numId w:val="3"/>
        </w:numPr>
        <w:rPr>
          <w:sz w:val="24"/>
          <w:szCs w:val="24"/>
        </w:rPr>
      </w:pPr>
      <w:r>
        <w:rPr>
          <w:sz w:val="24"/>
          <w:szCs w:val="24"/>
        </w:rPr>
        <w:t>Kern Valley State Prison</w:t>
      </w:r>
    </w:p>
    <w:p w14:paraId="0DB11B94" w14:textId="3F2DF8CE" w:rsidR="00755975" w:rsidRDefault="00755975" w:rsidP="003646F4">
      <w:pPr>
        <w:pStyle w:val="ListParagraph"/>
        <w:numPr>
          <w:ilvl w:val="1"/>
          <w:numId w:val="3"/>
        </w:numPr>
        <w:rPr>
          <w:sz w:val="24"/>
          <w:szCs w:val="24"/>
        </w:rPr>
      </w:pPr>
      <w:r>
        <w:rPr>
          <w:sz w:val="24"/>
          <w:szCs w:val="24"/>
        </w:rPr>
        <w:t>Pond Mutual Water Co</w:t>
      </w:r>
    </w:p>
    <w:p w14:paraId="61AED458" w14:textId="7E408473" w:rsidR="00755975" w:rsidRDefault="00755975" w:rsidP="003646F4">
      <w:pPr>
        <w:pStyle w:val="ListParagraph"/>
        <w:numPr>
          <w:ilvl w:val="1"/>
          <w:numId w:val="3"/>
        </w:numPr>
        <w:rPr>
          <w:sz w:val="24"/>
          <w:szCs w:val="24"/>
        </w:rPr>
      </w:pPr>
      <w:r>
        <w:rPr>
          <w:sz w:val="24"/>
          <w:szCs w:val="24"/>
        </w:rPr>
        <w:t>Agbayani Village Water System</w:t>
      </w:r>
    </w:p>
    <w:p w14:paraId="0C263B86" w14:textId="6E231245" w:rsidR="00755975" w:rsidRDefault="00755975" w:rsidP="003646F4">
      <w:pPr>
        <w:pStyle w:val="ListParagraph"/>
        <w:numPr>
          <w:ilvl w:val="1"/>
          <w:numId w:val="3"/>
        </w:numPr>
        <w:rPr>
          <w:sz w:val="24"/>
          <w:szCs w:val="24"/>
        </w:rPr>
      </w:pPr>
      <w:r>
        <w:rPr>
          <w:sz w:val="24"/>
          <w:szCs w:val="24"/>
        </w:rPr>
        <w:t>Kern County Parks &amp; Recreation, Lake Woollomes</w:t>
      </w:r>
    </w:p>
    <w:p w14:paraId="5280E1CB" w14:textId="587F8E91" w:rsidR="00755975" w:rsidRDefault="00755975" w:rsidP="00755975">
      <w:pPr>
        <w:pStyle w:val="ListParagraph"/>
        <w:numPr>
          <w:ilvl w:val="0"/>
          <w:numId w:val="3"/>
        </w:numPr>
        <w:rPr>
          <w:sz w:val="24"/>
          <w:szCs w:val="24"/>
        </w:rPr>
      </w:pPr>
      <w:r>
        <w:rPr>
          <w:sz w:val="24"/>
          <w:szCs w:val="24"/>
        </w:rPr>
        <w:t>Local Land Use Planning Agencies:</w:t>
      </w:r>
    </w:p>
    <w:p w14:paraId="308D26D8" w14:textId="5E601D83" w:rsidR="00755975" w:rsidRDefault="00755975" w:rsidP="00755975">
      <w:pPr>
        <w:pStyle w:val="ListParagraph"/>
        <w:numPr>
          <w:ilvl w:val="1"/>
          <w:numId w:val="3"/>
        </w:numPr>
        <w:rPr>
          <w:sz w:val="24"/>
          <w:szCs w:val="24"/>
        </w:rPr>
      </w:pPr>
      <w:r>
        <w:rPr>
          <w:sz w:val="24"/>
          <w:szCs w:val="24"/>
        </w:rPr>
        <w:t>Kern County</w:t>
      </w:r>
    </w:p>
    <w:p w14:paraId="28591A76" w14:textId="5A9EBDE7" w:rsidR="00755975" w:rsidRDefault="00755975" w:rsidP="00755975">
      <w:pPr>
        <w:pStyle w:val="ListParagraph"/>
        <w:numPr>
          <w:ilvl w:val="1"/>
          <w:numId w:val="3"/>
        </w:numPr>
        <w:rPr>
          <w:sz w:val="24"/>
          <w:szCs w:val="24"/>
        </w:rPr>
      </w:pPr>
      <w:r>
        <w:rPr>
          <w:sz w:val="24"/>
          <w:szCs w:val="24"/>
        </w:rPr>
        <w:t>City of Delano</w:t>
      </w:r>
    </w:p>
    <w:p w14:paraId="16E8293A" w14:textId="7DA66E4B" w:rsidR="00755975" w:rsidRDefault="00755975" w:rsidP="00755975">
      <w:pPr>
        <w:pStyle w:val="ListParagraph"/>
        <w:numPr>
          <w:ilvl w:val="1"/>
          <w:numId w:val="3"/>
        </w:numPr>
        <w:rPr>
          <w:sz w:val="24"/>
          <w:szCs w:val="24"/>
        </w:rPr>
      </w:pPr>
      <w:r>
        <w:rPr>
          <w:sz w:val="24"/>
          <w:szCs w:val="24"/>
        </w:rPr>
        <w:t>City of McFarland</w:t>
      </w:r>
    </w:p>
    <w:p w14:paraId="74E222BD" w14:textId="7F894F5B" w:rsidR="00755975" w:rsidRDefault="00755975" w:rsidP="00755975">
      <w:pPr>
        <w:pStyle w:val="ListParagraph"/>
        <w:numPr>
          <w:ilvl w:val="0"/>
          <w:numId w:val="3"/>
        </w:numPr>
        <w:rPr>
          <w:sz w:val="24"/>
          <w:szCs w:val="24"/>
        </w:rPr>
      </w:pPr>
      <w:r>
        <w:rPr>
          <w:sz w:val="24"/>
          <w:szCs w:val="24"/>
        </w:rPr>
        <w:t>Environmental Users of Groundwater:</w:t>
      </w:r>
    </w:p>
    <w:p w14:paraId="51B661A6" w14:textId="6218364E" w:rsidR="00755975" w:rsidRDefault="00755975" w:rsidP="00755975">
      <w:pPr>
        <w:pStyle w:val="ListParagraph"/>
        <w:numPr>
          <w:ilvl w:val="1"/>
          <w:numId w:val="3"/>
        </w:numPr>
        <w:rPr>
          <w:sz w:val="24"/>
          <w:szCs w:val="24"/>
        </w:rPr>
      </w:pPr>
      <w:r>
        <w:rPr>
          <w:sz w:val="24"/>
          <w:szCs w:val="24"/>
        </w:rPr>
        <w:t>There are no known environmental users of groundwater within the GSA boundaries.</w:t>
      </w:r>
    </w:p>
    <w:p w14:paraId="55E84C4A" w14:textId="1E3CDC7C" w:rsidR="00755975" w:rsidRDefault="00755975" w:rsidP="00755975">
      <w:pPr>
        <w:pStyle w:val="ListParagraph"/>
        <w:numPr>
          <w:ilvl w:val="0"/>
          <w:numId w:val="3"/>
        </w:numPr>
        <w:rPr>
          <w:sz w:val="24"/>
          <w:szCs w:val="24"/>
        </w:rPr>
      </w:pPr>
      <w:r>
        <w:rPr>
          <w:sz w:val="24"/>
          <w:szCs w:val="24"/>
        </w:rPr>
        <w:t xml:space="preserve">Surface Water </w:t>
      </w:r>
      <w:proofErr w:type="gramStart"/>
      <w:r>
        <w:rPr>
          <w:sz w:val="24"/>
          <w:szCs w:val="24"/>
        </w:rPr>
        <w:t>Users, if</w:t>
      </w:r>
      <w:proofErr w:type="gramEnd"/>
      <w:r>
        <w:rPr>
          <w:sz w:val="24"/>
          <w:szCs w:val="24"/>
        </w:rPr>
        <w:t xml:space="preserve"> there is a hydrologic connection between surface and groundwater bodies:</w:t>
      </w:r>
    </w:p>
    <w:p w14:paraId="1FE33A4B" w14:textId="1618BD7F" w:rsidR="00755975" w:rsidRDefault="00755975" w:rsidP="00755975">
      <w:pPr>
        <w:pStyle w:val="ListParagraph"/>
        <w:numPr>
          <w:ilvl w:val="1"/>
          <w:numId w:val="3"/>
        </w:numPr>
        <w:rPr>
          <w:sz w:val="24"/>
          <w:szCs w:val="24"/>
        </w:rPr>
      </w:pPr>
      <w:r>
        <w:rPr>
          <w:sz w:val="24"/>
          <w:szCs w:val="24"/>
        </w:rPr>
        <w:t>The District is a conjunctive use district and owns and manages certain surface water rights and supplies.</w:t>
      </w:r>
    </w:p>
    <w:p w14:paraId="4E2A78B1" w14:textId="5AA3E2E0" w:rsidR="00755975" w:rsidRDefault="00755975" w:rsidP="00755975">
      <w:pPr>
        <w:pStyle w:val="ListParagraph"/>
        <w:numPr>
          <w:ilvl w:val="0"/>
          <w:numId w:val="3"/>
        </w:numPr>
        <w:rPr>
          <w:sz w:val="24"/>
          <w:szCs w:val="24"/>
        </w:rPr>
      </w:pPr>
      <w:r>
        <w:rPr>
          <w:sz w:val="24"/>
          <w:szCs w:val="24"/>
        </w:rPr>
        <w:lastRenderedPageBreak/>
        <w:t>The federal government, including, but not limited to, the military and federal lands:</w:t>
      </w:r>
    </w:p>
    <w:p w14:paraId="5C4394BA" w14:textId="4F06DC51" w:rsidR="00755975" w:rsidRDefault="00755975" w:rsidP="00755975">
      <w:pPr>
        <w:pStyle w:val="ListParagraph"/>
        <w:numPr>
          <w:ilvl w:val="1"/>
          <w:numId w:val="3"/>
        </w:numPr>
        <w:rPr>
          <w:sz w:val="24"/>
          <w:szCs w:val="24"/>
        </w:rPr>
      </w:pPr>
      <w:r>
        <w:rPr>
          <w:sz w:val="24"/>
          <w:szCs w:val="24"/>
        </w:rPr>
        <w:t>There are no know lands owned by the federal government within the GSA boundaries.</w:t>
      </w:r>
    </w:p>
    <w:p w14:paraId="553EE717" w14:textId="515C9666" w:rsidR="00755975" w:rsidRDefault="00EE110E" w:rsidP="00755975">
      <w:pPr>
        <w:pStyle w:val="ListParagraph"/>
        <w:numPr>
          <w:ilvl w:val="0"/>
          <w:numId w:val="3"/>
        </w:numPr>
        <w:rPr>
          <w:sz w:val="24"/>
          <w:szCs w:val="24"/>
        </w:rPr>
      </w:pPr>
      <w:r>
        <w:rPr>
          <w:sz w:val="24"/>
          <w:szCs w:val="24"/>
        </w:rPr>
        <w:t>California Native American Tribes:</w:t>
      </w:r>
    </w:p>
    <w:p w14:paraId="68029E45" w14:textId="2EC8FF9D" w:rsidR="00EE110E" w:rsidRDefault="00EE110E" w:rsidP="00EE110E">
      <w:pPr>
        <w:pStyle w:val="ListParagraph"/>
        <w:numPr>
          <w:ilvl w:val="1"/>
          <w:numId w:val="3"/>
        </w:numPr>
        <w:rPr>
          <w:sz w:val="24"/>
          <w:szCs w:val="24"/>
        </w:rPr>
      </w:pPr>
      <w:r>
        <w:rPr>
          <w:sz w:val="24"/>
          <w:szCs w:val="24"/>
        </w:rPr>
        <w:t>There are no known lands belonging to California Native American Tribes within the GSA boundaries.</w:t>
      </w:r>
    </w:p>
    <w:p w14:paraId="7002F15D" w14:textId="4C8C64C8" w:rsidR="00EE110E" w:rsidRDefault="00EE110E" w:rsidP="00EE110E">
      <w:pPr>
        <w:pStyle w:val="ListParagraph"/>
        <w:numPr>
          <w:ilvl w:val="0"/>
          <w:numId w:val="3"/>
        </w:numPr>
        <w:rPr>
          <w:sz w:val="24"/>
          <w:szCs w:val="24"/>
        </w:rPr>
      </w:pPr>
      <w:r>
        <w:rPr>
          <w:sz w:val="24"/>
          <w:szCs w:val="24"/>
        </w:rPr>
        <w:t>Disadvantaged Communities, including, but not limited to, those served by domestic wells or small community water systems:</w:t>
      </w:r>
    </w:p>
    <w:p w14:paraId="05271EBE" w14:textId="77777777" w:rsidR="00EE110E" w:rsidRDefault="00EE110E" w:rsidP="00EE110E">
      <w:pPr>
        <w:pStyle w:val="ListParagraph"/>
        <w:numPr>
          <w:ilvl w:val="1"/>
          <w:numId w:val="3"/>
        </w:numPr>
        <w:rPr>
          <w:sz w:val="24"/>
          <w:szCs w:val="24"/>
        </w:rPr>
      </w:pPr>
      <w:r>
        <w:rPr>
          <w:sz w:val="24"/>
          <w:szCs w:val="24"/>
        </w:rPr>
        <w:t>City of Delano</w:t>
      </w:r>
    </w:p>
    <w:p w14:paraId="410333E8" w14:textId="2169E0A3" w:rsidR="00EE110E" w:rsidRDefault="00EE110E" w:rsidP="00EE110E">
      <w:pPr>
        <w:pStyle w:val="ListParagraph"/>
        <w:numPr>
          <w:ilvl w:val="1"/>
          <w:numId w:val="3"/>
        </w:numPr>
        <w:rPr>
          <w:sz w:val="24"/>
          <w:szCs w:val="24"/>
        </w:rPr>
      </w:pPr>
      <w:r>
        <w:rPr>
          <w:sz w:val="24"/>
          <w:szCs w:val="24"/>
        </w:rPr>
        <w:t>City of McFarland</w:t>
      </w:r>
    </w:p>
    <w:p w14:paraId="775B8356" w14:textId="77777777" w:rsidR="00EE110E" w:rsidRDefault="00EE110E" w:rsidP="00EE110E">
      <w:pPr>
        <w:pStyle w:val="ListParagraph"/>
        <w:numPr>
          <w:ilvl w:val="1"/>
          <w:numId w:val="3"/>
        </w:numPr>
        <w:rPr>
          <w:sz w:val="24"/>
          <w:szCs w:val="24"/>
        </w:rPr>
      </w:pPr>
      <w:r>
        <w:rPr>
          <w:sz w:val="24"/>
          <w:szCs w:val="24"/>
        </w:rPr>
        <w:t>Pond Mutual Water Co</w:t>
      </w:r>
    </w:p>
    <w:p w14:paraId="0CCA7581" w14:textId="75DB9644" w:rsidR="00EE110E" w:rsidRDefault="00EE110E" w:rsidP="00EE110E">
      <w:pPr>
        <w:pStyle w:val="ListParagraph"/>
        <w:numPr>
          <w:ilvl w:val="1"/>
          <w:numId w:val="3"/>
        </w:numPr>
        <w:rPr>
          <w:sz w:val="24"/>
          <w:szCs w:val="24"/>
        </w:rPr>
      </w:pPr>
      <w:r>
        <w:rPr>
          <w:sz w:val="24"/>
          <w:szCs w:val="24"/>
        </w:rPr>
        <w:t>Agbayani Village Water System</w:t>
      </w:r>
    </w:p>
    <w:p w14:paraId="0420B2BB" w14:textId="3A45A68C" w:rsidR="00EE110E" w:rsidRDefault="00EE110E" w:rsidP="00EE110E">
      <w:pPr>
        <w:pStyle w:val="ListParagraph"/>
        <w:numPr>
          <w:ilvl w:val="0"/>
          <w:numId w:val="3"/>
        </w:numPr>
        <w:rPr>
          <w:sz w:val="24"/>
          <w:szCs w:val="24"/>
        </w:rPr>
      </w:pPr>
      <w:r>
        <w:rPr>
          <w:sz w:val="24"/>
          <w:szCs w:val="24"/>
        </w:rPr>
        <w:t>Entities listed in Section 10927 that are monitoring and reporting groundwater elevations in all or a part of the groundwater basin managed by the groundwater sustainability agency:</w:t>
      </w:r>
    </w:p>
    <w:p w14:paraId="21272FA5" w14:textId="4C486696" w:rsidR="00EE110E" w:rsidRDefault="00EE110E" w:rsidP="00EE110E">
      <w:pPr>
        <w:pStyle w:val="ListParagraph"/>
        <w:numPr>
          <w:ilvl w:val="1"/>
          <w:numId w:val="3"/>
        </w:numPr>
        <w:rPr>
          <w:sz w:val="24"/>
          <w:szCs w:val="24"/>
        </w:rPr>
      </w:pPr>
      <w:r>
        <w:rPr>
          <w:sz w:val="24"/>
          <w:szCs w:val="24"/>
        </w:rPr>
        <w:t>The District is the only no known entity that monitoring and reporting groundwater levels within the GSA boundaries.</w:t>
      </w:r>
    </w:p>
    <w:p w14:paraId="10947165" w14:textId="4ABA17F1" w:rsidR="00EE110E" w:rsidRPr="00EE110E" w:rsidRDefault="00EE110E" w:rsidP="00EE110E">
      <w:pPr>
        <w:rPr>
          <w:sz w:val="24"/>
          <w:szCs w:val="24"/>
        </w:rPr>
      </w:pPr>
      <w:r>
        <w:rPr>
          <w:sz w:val="24"/>
          <w:szCs w:val="24"/>
        </w:rPr>
        <w:t xml:space="preserve">The District intends to engage in a collaborative, open, and inclusive process in implementing SGMA and consider the interests of the Basin’s other GSA’s </w:t>
      </w:r>
      <w:r w:rsidR="00C33B3C">
        <w:rPr>
          <w:sz w:val="24"/>
          <w:szCs w:val="24"/>
        </w:rPr>
        <w:t>stakeholders, and other interested parties in the development and implementation of the MAP and GSP. Interested parties will have opportunities, both formal and informal, to provide input to the GSA throughout the process. Such opportunities may include, but are not limited to, public comment periods as required by SGMA, opportunities for the public during the District’s regular and special board meetings, and at other times to be determined and noticed in accordance with the California Water Code §10727.8.</w:t>
      </w:r>
    </w:p>
    <w:sectPr w:rsidR="00EE110E" w:rsidRPr="00EE110E" w:rsidSect="00320BA7">
      <w:pgSz w:w="12240" w:h="15840" w:code="1"/>
      <w:pgMar w:top="1800" w:right="108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dobe Garamond Pro">
    <w:panose1 w:val="02020502060506020403"/>
    <w:charset w:val="00"/>
    <w:family w:val="roman"/>
    <w:notTrueType/>
    <w:pitch w:val="variable"/>
    <w:sig w:usb0="00000007" w:usb1="00000001" w:usb2="00000000" w:usb3="00000000" w:csb0="00000093" w:csb1="00000000"/>
  </w:font>
  <w:font w:name="Arial">
    <w:panose1 w:val="020B0604020202020204"/>
    <w:charset w:val="00"/>
    <w:family w:val="swiss"/>
    <w:pitch w:val="variable"/>
    <w:sig w:usb0="E0002EFF" w:usb1="C0007843" w:usb2="00000009" w:usb3="00000000" w:csb0="000001FF" w:csb1="00000000"/>
  </w:font>
  <w:font w:name="Arial Bold">
    <w:panose1 w:val="020B07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A2BA5"/>
    <w:multiLevelType w:val="hybridMultilevel"/>
    <w:tmpl w:val="464C3E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FB345E"/>
    <w:multiLevelType w:val="hybridMultilevel"/>
    <w:tmpl w:val="96060652"/>
    <w:lvl w:ilvl="0" w:tplc="5A4473D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6FC38CA"/>
    <w:multiLevelType w:val="multilevel"/>
    <w:tmpl w:val="DE0ADA36"/>
    <w:lvl w:ilvl="0">
      <w:start w:val="1"/>
      <w:numFmt w:val="decimal"/>
      <w:pStyle w:val="FigureTitl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636192">
    <w:abstractNumId w:val="1"/>
  </w:num>
  <w:num w:numId="2" w16cid:durableId="1929918553">
    <w:abstractNumId w:val="2"/>
  </w:num>
  <w:num w:numId="3" w16cid:durableId="2136215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defaultTabStop w:val="720"/>
  <w:drawingGridHorizontalSpacing w:val="120"/>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BFB"/>
    <w:rsid w:val="00320BA7"/>
    <w:rsid w:val="003646F4"/>
    <w:rsid w:val="00385775"/>
    <w:rsid w:val="003C4D39"/>
    <w:rsid w:val="00755688"/>
    <w:rsid w:val="00755975"/>
    <w:rsid w:val="008D493F"/>
    <w:rsid w:val="00906C55"/>
    <w:rsid w:val="00960BFB"/>
    <w:rsid w:val="009D0598"/>
    <w:rsid w:val="00A03F8C"/>
    <w:rsid w:val="00C33B3C"/>
    <w:rsid w:val="00EE1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D7976"/>
  <w15:chartTrackingRefBased/>
  <w15:docId w15:val="{83845F5B-2FC9-46BB-9247-216772BAE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775"/>
    <w:pPr>
      <w:spacing w:line="276" w:lineRule="auto"/>
    </w:pPr>
    <w:rPr>
      <w:rFonts w:ascii="Adobe Garamond Pro" w:hAnsi="Adobe Garamond P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autoRedefine/>
    <w:qFormat/>
    <w:rsid w:val="008D493F"/>
    <w:pPr>
      <w:spacing w:after="240"/>
      <w:jc w:val="both"/>
    </w:pPr>
    <w:rPr>
      <w:rFonts w:eastAsia="Times New Roman" w:cs="Arial"/>
      <w:szCs w:val="20"/>
    </w:rPr>
  </w:style>
  <w:style w:type="character" w:customStyle="1" w:styleId="BodyTextChar">
    <w:name w:val="Body Text Char"/>
    <w:basedOn w:val="DefaultParagraphFont"/>
    <w:link w:val="BodyText"/>
    <w:rsid w:val="008D493F"/>
    <w:rPr>
      <w:rFonts w:ascii="Times New Roman" w:eastAsia="Times New Roman" w:hAnsi="Times New Roman" w:cs="Arial"/>
      <w:sz w:val="24"/>
      <w:szCs w:val="20"/>
    </w:rPr>
  </w:style>
  <w:style w:type="paragraph" w:customStyle="1" w:styleId="FigureTitle">
    <w:name w:val="Figure Title"/>
    <w:basedOn w:val="Caption"/>
    <w:link w:val="FigureTitleChar"/>
    <w:qFormat/>
    <w:rsid w:val="009D0598"/>
    <w:pPr>
      <w:numPr>
        <w:numId w:val="2"/>
      </w:numPr>
      <w:spacing w:before="40" w:after="240"/>
      <w:ind w:hanging="360"/>
      <w:jc w:val="center"/>
    </w:pPr>
    <w:rPr>
      <w:rFonts w:ascii="Arial Bold" w:eastAsia="Times New Roman" w:hAnsi="Arial Bold" w:cs="Arial"/>
      <w:b/>
      <w:i w:val="0"/>
      <w:color w:val="auto"/>
      <w:sz w:val="20"/>
      <w:szCs w:val="20"/>
    </w:rPr>
  </w:style>
  <w:style w:type="character" w:customStyle="1" w:styleId="FigureTitleChar">
    <w:name w:val="Figure Title Char"/>
    <w:basedOn w:val="DefaultParagraphFont"/>
    <w:link w:val="FigureTitle"/>
    <w:rsid w:val="009D0598"/>
    <w:rPr>
      <w:rFonts w:ascii="Arial Bold" w:eastAsia="Times New Roman" w:hAnsi="Arial Bold" w:cs="Arial"/>
      <w:b/>
      <w:iCs/>
      <w:sz w:val="20"/>
      <w:szCs w:val="20"/>
    </w:rPr>
  </w:style>
  <w:style w:type="paragraph" w:styleId="Caption">
    <w:name w:val="caption"/>
    <w:basedOn w:val="Normal"/>
    <w:next w:val="Normal"/>
    <w:uiPriority w:val="35"/>
    <w:semiHidden/>
    <w:unhideWhenUsed/>
    <w:qFormat/>
    <w:rsid w:val="009D0598"/>
    <w:pPr>
      <w:spacing w:after="200" w:line="240" w:lineRule="auto"/>
    </w:pPr>
    <w:rPr>
      <w:i/>
      <w:iCs/>
      <w:color w:val="44546A" w:themeColor="text2"/>
      <w:sz w:val="18"/>
      <w:szCs w:val="18"/>
    </w:rPr>
  </w:style>
  <w:style w:type="paragraph" w:styleId="ListParagraph">
    <w:name w:val="List Paragraph"/>
    <w:basedOn w:val="Normal"/>
    <w:uiPriority w:val="34"/>
    <w:qFormat/>
    <w:rsid w:val="003646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511</Words>
  <Characters>2913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Hearn, Stephanie</dc:creator>
  <cp:keywords/>
  <dc:description/>
  <cp:lastModifiedBy>Hearn, Stephanie</cp:lastModifiedBy>
  <cp:revision>1</cp:revision>
  <dcterms:created xsi:type="dcterms:W3CDTF">2023-02-01T01:54:00Z</dcterms:created>
  <dcterms:modified xsi:type="dcterms:W3CDTF">2023-02-01T02:19:00Z</dcterms:modified>
</cp:coreProperties>
</file>