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2434F" w14:textId="77777777" w:rsidR="00F17D6E" w:rsidRPr="00F17D6E" w:rsidRDefault="00F17D6E" w:rsidP="00E8327E">
      <w:pPr>
        <w:rPr>
          <w:rFonts w:asciiTheme="minorHAnsi" w:hAnsiTheme="minorHAnsi"/>
          <w:b/>
          <w:u w:val="single"/>
        </w:rPr>
      </w:pPr>
      <w:r w:rsidRPr="00F17D6E">
        <w:rPr>
          <w:rFonts w:asciiTheme="minorHAnsi" w:hAnsiTheme="minorHAnsi"/>
          <w:b/>
          <w:u w:val="single"/>
        </w:rPr>
        <w:t>E.1 List of Interested Parties</w:t>
      </w:r>
    </w:p>
    <w:p w14:paraId="292BCBA4" w14:textId="77777777" w:rsidR="00F17D6E" w:rsidRPr="00F17D6E" w:rsidRDefault="00F17D6E" w:rsidP="00E8327E">
      <w:pPr>
        <w:rPr>
          <w:rFonts w:asciiTheme="minorHAnsi" w:hAnsiTheme="minorHAnsi"/>
          <w:b/>
          <w:u w:val="single"/>
        </w:rPr>
      </w:pPr>
    </w:p>
    <w:p w14:paraId="53CC00BA" w14:textId="5CDD1998" w:rsidR="00CA2D8A" w:rsidRPr="00F17D6E" w:rsidRDefault="00CA2D8A" w:rsidP="00E8327E">
      <w:pPr>
        <w:rPr>
          <w:rFonts w:asciiTheme="minorHAnsi" w:hAnsiTheme="minorHAnsi"/>
          <w:u w:val="single"/>
        </w:rPr>
      </w:pPr>
      <w:r w:rsidRPr="00F17D6E">
        <w:rPr>
          <w:rFonts w:asciiTheme="minorHAnsi" w:hAnsiTheme="minorHAnsi"/>
          <w:u w:val="single"/>
        </w:rPr>
        <w:t>Consideration of Beneficial Uses and Users of Groundwater</w:t>
      </w:r>
    </w:p>
    <w:p w14:paraId="5444BDD4" w14:textId="77777777" w:rsidR="00CA2D8A" w:rsidRPr="00F17D6E" w:rsidRDefault="00CA2D8A" w:rsidP="00E8327E">
      <w:pPr>
        <w:rPr>
          <w:rFonts w:asciiTheme="minorHAnsi" w:hAnsiTheme="minorHAnsi"/>
        </w:rPr>
      </w:pPr>
    </w:p>
    <w:p w14:paraId="2C820E16" w14:textId="5633B5A9" w:rsidR="00462539" w:rsidRPr="00F17D6E" w:rsidRDefault="00462539" w:rsidP="00E8327E">
      <w:pPr>
        <w:rPr>
          <w:rFonts w:asciiTheme="minorHAnsi" w:hAnsiTheme="minorHAnsi"/>
        </w:rPr>
      </w:pPr>
      <w:r w:rsidRPr="00F17D6E">
        <w:rPr>
          <w:rFonts w:asciiTheme="minorHAnsi" w:hAnsiTheme="minorHAnsi"/>
        </w:rPr>
        <w:t xml:space="preserve">The </w:t>
      </w:r>
      <w:r w:rsidR="0091718F" w:rsidRPr="00F17D6E">
        <w:rPr>
          <w:rFonts w:asciiTheme="minorHAnsi" w:hAnsiTheme="minorHAnsi"/>
        </w:rPr>
        <w:t>White Wolf </w:t>
      </w:r>
      <w:r w:rsidR="00F17D6E" w:rsidRPr="00F17D6E">
        <w:rPr>
          <w:rFonts w:asciiTheme="minorHAnsi" w:hAnsiTheme="minorHAnsi"/>
        </w:rPr>
        <w:t>Groundwater Sustainability Agency (</w:t>
      </w:r>
      <w:r w:rsidRPr="00F17D6E">
        <w:rPr>
          <w:rFonts w:asciiTheme="minorHAnsi" w:hAnsiTheme="minorHAnsi"/>
        </w:rPr>
        <w:t>GSA</w:t>
      </w:r>
      <w:r w:rsidR="00F17D6E" w:rsidRPr="00F17D6E">
        <w:rPr>
          <w:rFonts w:asciiTheme="minorHAnsi" w:hAnsiTheme="minorHAnsi"/>
        </w:rPr>
        <w:t>)</w:t>
      </w:r>
      <w:r w:rsidRPr="00F17D6E">
        <w:rPr>
          <w:rFonts w:asciiTheme="minorHAnsi" w:hAnsiTheme="minorHAnsi"/>
        </w:rPr>
        <w:t xml:space="preserve"> will consider the interests of all beneficial uses and users of groundwater, including those responsible for implementing the </w:t>
      </w:r>
      <w:r w:rsidR="00F17D6E">
        <w:rPr>
          <w:rFonts w:asciiTheme="minorHAnsi" w:hAnsiTheme="minorHAnsi"/>
        </w:rPr>
        <w:t>Groundwater Sustainability Plans (</w:t>
      </w:r>
      <w:r w:rsidRPr="00F17D6E">
        <w:rPr>
          <w:rFonts w:asciiTheme="minorHAnsi" w:hAnsiTheme="minorHAnsi"/>
        </w:rPr>
        <w:t>GSPs</w:t>
      </w:r>
      <w:r w:rsidR="00F17D6E">
        <w:rPr>
          <w:rFonts w:asciiTheme="minorHAnsi" w:hAnsiTheme="minorHAnsi"/>
        </w:rPr>
        <w:t>)</w:t>
      </w:r>
      <w:r w:rsidRPr="00F17D6E">
        <w:rPr>
          <w:rFonts w:asciiTheme="minorHAnsi" w:hAnsiTheme="minorHAnsi"/>
        </w:rPr>
        <w:t>, prior to and during the development and implementation of the GSP</w:t>
      </w:r>
      <w:r w:rsidR="00F17D6E">
        <w:rPr>
          <w:rFonts w:asciiTheme="minorHAnsi" w:hAnsiTheme="minorHAnsi"/>
        </w:rPr>
        <w:t xml:space="preserve"> for the White Wolf Subbasin</w:t>
      </w:r>
      <w:r w:rsidR="00310714">
        <w:rPr>
          <w:rFonts w:asciiTheme="minorHAnsi" w:hAnsiTheme="minorHAnsi"/>
        </w:rPr>
        <w:t xml:space="preserve"> (the Subbasin)</w:t>
      </w:r>
      <w:r w:rsidRPr="00F17D6E">
        <w:rPr>
          <w:rFonts w:asciiTheme="minorHAnsi" w:hAnsiTheme="minorHAnsi"/>
        </w:rPr>
        <w:t>. Prior to GSP development, a comprehensive list of interested parties will be developed through an extensive public outreach effort. Through the course of GSP development and implementation, this list will be maintained and updated, as new entities are identified and contact information changes. The interested parties will play a pivotal role in the development of the GSP. A series of Stakeholder Workshops are proposed, such that the interests of beneficial uses and users of groundwater may be discussed in a collaborative working environment. These workshops are anticipated to occur at regular intervals and/or coincident with key deliverables, leading up to and throughout the course of GSP development. The input received at workshops will be summarized for the public record and incorporated into the final GSP, as appropriate.</w:t>
      </w:r>
    </w:p>
    <w:p w14:paraId="6413B7F4" w14:textId="77777777" w:rsidR="00462539" w:rsidRPr="00F17D6E" w:rsidRDefault="00462539" w:rsidP="00E8327E">
      <w:pPr>
        <w:rPr>
          <w:rFonts w:asciiTheme="minorHAnsi" w:hAnsiTheme="minorHAnsi"/>
        </w:rPr>
      </w:pPr>
    </w:p>
    <w:p w14:paraId="00B71F92" w14:textId="1B801DAE" w:rsidR="00462539" w:rsidRPr="00F17D6E" w:rsidRDefault="00462539" w:rsidP="00E8327E">
      <w:pPr>
        <w:rPr>
          <w:rFonts w:asciiTheme="minorHAnsi" w:hAnsiTheme="minorHAnsi"/>
        </w:rPr>
      </w:pPr>
      <w:r w:rsidRPr="00F17D6E">
        <w:rPr>
          <w:rFonts w:asciiTheme="minorHAnsi" w:hAnsiTheme="minorHAnsi"/>
        </w:rPr>
        <w:t xml:space="preserve">Interested parties have been identified as part of this Notice, </w:t>
      </w:r>
      <w:r w:rsidR="0091718F" w:rsidRPr="00F17D6E">
        <w:rPr>
          <w:rFonts w:asciiTheme="minorHAnsi" w:hAnsiTheme="minorHAnsi"/>
        </w:rPr>
        <w:t>in accordance with the</w:t>
      </w:r>
      <w:r w:rsidRPr="00F17D6E">
        <w:rPr>
          <w:rFonts w:asciiTheme="minorHAnsi" w:hAnsiTheme="minorHAnsi"/>
        </w:rPr>
        <w:t xml:space="preserve"> interests listed CWC §10723.2.</w:t>
      </w:r>
      <w:r w:rsidR="0091718F" w:rsidRPr="00F17D6E">
        <w:rPr>
          <w:rFonts w:asciiTheme="minorHAnsi" w:hAnsiTheme="minorHAnsi"/>
        </w:rPr>
        <w:t xml:space="preserve"> Commercial and industrial groundwater users have been added as an additional interested user of groundwater in the Subbasin.</w:t>
      </w:r>
    </w:p>
    <w:p w14:paraId="1CFF5D2D" w14:textId="77777777" w:rsidR="0091718F" w:rsidRPr="00F17D6E" w:rsidRDefault="0091718F" w:rsidP="00E8327E">
      <w:pPr>
        <w:rPr>
          <w:rFonts w:asciiTheme="minorHAnsi" w:hAnsiTheme="minorHAnsi"/>
        </w:rPr>
      </w:pPr>
    </w:p>
    <w:p w14:paraId="0BA64D56" w14:textId="19E7F215" w:rsidR="0091718F" w:rsidRPr="00F17D6E" w:rsidRDefault="0091718F" w:rsidP="00E8327E">
      <w:pPr>
        <w:rPr>
          <w:rFonts w:asciiTheme="minorHAnsi" w:hAnsiTheme="minorHAnsi"/>
          <w:i/>
        </w:rPr>
      </w:pPr>
      <w:r w:rsidRPr="00F17D6E">
        <w:rPr>
          <w:rFonts w:asciiTheme="minorHAnsi" w:hAnsiTheme="minorHAnsi"/>
          <w:i/>
        </w:rPr>
        <w:t>§10723.2. The GSA shall consider the interests of all beneficial uses and users of groundwater, as well as those responsible for implementing GSPs. These interests include, but are not limited to all of the following:</w:t>
      </w:r>
    </w:p>
    <w:p w14:paraId="2414E8C8" w14:textId="77777777" w:rsidR="00462539" w:rsidRPr="00F17D6E" w:rsidRDefault="00462539" w:rsidP="00E8327E">
      <w:pPr>
        <w:rPr>
          <w:rFonts w:asciiTheme="minorHAnsi" w:hAnsiTheme="minorHAnsi"/>
        </w:rPr>
      </w:pPr>
    </w:p>
    <w:p w14:paraId="4965D5AF" w14:textId="77777777" w:rsidR="003B5503" w:rsidRPr="00F17D6E" w:rsidRDefault="003B5503" w:rsidP="00957ECB">
      <w:pPr>
        <w:numPr>
          <w:ilvl w:val="0"/>
          <w:numId w:val="16"/>
        </w:numPr>
        <w:spacing w:after="120"/>
        <w:rPr>
          <w:rFonts w:asciiTheme="minorHAnsi" w:hAnsiTheme="minorHAnsi"/>
          <w:i/>
        </w:rPr>
      </w:pPr>
      <w:r w:rsidRPr="00F17D6E">
        <w:rPr>
          <w:rFonts w:asciiTheme="minorHAnsi" w:hAnsiTheme="minorHAnsi"/>
          <w:i/>
        </w:rPr>
        <w:t>Holders of overlying groundwater rights, including:</w:t>
      </w:r>
    </w:p>
    <w:p w14:paraId="62C36AF8" w14:textId="0A03EF87" w:rsidR="003B5503" w:rsidRPr="00F17D6E" w:rsidRDefault="00797BEB" w:rsidP="00957ECB">
      <w:pPr>
        <w:numPr>
          <w:ilvl w:val="1"/>
          <w:numId w:val="16"/>
        </w:numPr>
        <w:spacing w:after="120"/>
        <w:rPr>
          <w:rFonts w:asciiTheme="minorHAnsi" w:hAnsiTheme="minorHAnsi"/>
          <w:i/>
        </w:rPr>
      </w:pPr>
      <w:r w:rsidRPr="00F17D6E">
        <w:rPr>
          <w:rFonts w:asciiTheme="minorHAnsi" w:hAnsiTheme="minorHAnsi"/>
          <w:i/>
        </w:rPr>
        <w:t>Agricultural users</w:t>
      </w:r>
    </w:p>
    <w:p w14:paraId="7DEBA879" w14:textId="0059DBA7" w:rsidR="003B5503" w:rsidRPr="00F17D6E" w:rsidRDefault="004F2537" w:rsidP="0091718F">
      <w:pPr>
        <w:numPr>
          <w:ilvl w:val="2"/>
          <w:numId w:val="16"/>
        </w:numPr>
        <w:rPr>
          <w:rFonts w:asciiTheme="minorHAnsi" w:hAnsiTheme="minorHAnsi"/>
        </w:rPr>
      </w:pPr>
      <w:r w:rsidRPr="00F17D6E">
        <w:rPr>
          <w:rFonts w:asciiTheme="minorHAnsi" w:hAnsiTheme="minorHAnsi"/>
        </w:rPr>
        <w:t>The primary land use in the Subbasin is irrigated agriculture, comprising 41% of the total land area in the Subbasin</w:t>
      </w:r>
      <w:r w:rsidR="00824C00" w:rsidRPr="00F17D6E">
        <w:rPr>
          <w:rFonts w:asciiTheme="minorHAnsi" w:hAnsiTheme="minorHAnsi"/>
        </w:rPr>
        <w:t xml:space="preserve"> in </w:t>
      </w:r>
      <w:r w:rsidRPr="00F17D6E">
        <w:rPr>
          <w:rFonts w:asciiTheme="minorHAnsi" w:hAnsiTheme="minorHAnsi"/>
        </w:rPr>
        <w:t>2013.</w:t>
      </w:r>
      <w:r w:rsidR="00824C00" w:rsidRPr="00F17D6E">
        <w:rPr>
          <w:rStyle w:val="FootnoteReference"/>
          <w:rFonts w:asciiTheme="minorHAnsi" w:hAnsiTheme="minorHAnsi"/>
        </w:rPr>
        <w:footnoteReference w:id="1"/>
      </w:r>
      <w:r w:rsidRPr="00F17D6E">
        <w:rPr>
          <w:rFonts w:asciiTheme="minorHAnsi" w:hAnsiTheme="minorHAnsi"/>
        </w:rPr>
        <w:t xml:space="preserve"> </w:t>
      </w:r>
      <w:r w:rsidR="00046545" w:rsidRPr="00F17D6E">
        <w:rPr>
          <w:rFonts w:asciiTheme="minorHAnsi" w:hAnsiTheme="minorHAnsi"/>
        </w:rPr>
        <w:t xml:space="preserve">Collectively, </w:t>
      </w:r>
      <w:r w:rsidR="00310714">
        <w:rPr>
          <w:rFonts w:asciiTheme="minorHAnsi" w:hAnsiTheme="minorHAnsi"/>
        </w:rPr>
        <w:t>Wheeler Ridge-Maricopa Water Storage District (</w:t>
      </w:r>
      <w:r w:rsidR="00046545" w:rsidRPr="00F17D6E">
        <w:rPr>
          <w:rFonts w:asciiTheme="minorHAnsi" w:hAnsiTheme="minorHAnsi"/>
        </w:rPr>
        <w:t>WRMWSD</w:t>
      </w:r>
      <w:r w:rsidR="00310714">
        <w:rPr>
          <w:rFonts w:asciiTheme="minorHAnsi" w:hAnsiTheme="minorHAnsi"/>
        </w:rPr>
        <w:t>)</w:t>
      </w:r>
      <w:r w:rsidR="00046545" w:rsidRPr="00F17D6E">
        <w:rPr>
          <w:rFonts w:asciiTheme="minorHAnsi" w:hAnsiTheme="minorHAnsi"/>
        </w:rPr>
        <w:t xml:space="preserve"> and </w:t>
      </w:r>
      <w:r w:rsidR="00310714">
        <w:rPr>
          <w:rFonts w:asciiTheme="minorHAnsi" w:hAnsiTheme="minorHAnsi"/>
        </w:rPr>
        <w:t>Arvin-Edison Water Storage District (</w:t>
      </w:r>
      <w:r w:rsidR="00046545" w:rsidRPr="00F17D6E">
        <w:rPr>
          <w:rFonts w:asciiTheme="minorHAnsi" w:hAnsiTheme="minorHAnsi"/>
        </w:rPr>
        <w:t>AEWSD</w:t>
      </w:r>
      <w:r w:rsidR="00310714">
        <w:rPr>
          <w:rFonts w:asciiTheme="minorHAnsi" w:hAnsiTheme="minorHAnsi"/>
        </w:rPr>
        <w:t>)</w:t>
      </w:r>
      <w:r w:rsidR="00046545" w:rsidRPr="00F17D6E">
        <w:rPr>
          <w:rFonts w:asciiTheme="minorHAnsi" w:hAnsiTheme="minorHAnsi"/>
        </w:rPr>
        <w:t xml:space="preserve"> provide water service to the </w:t>
      </w:r>
      <w:r w:rsidRPr="00F17D6E">
        <w:rPr>
          <w:rFonts w:asciiTheme="minorHAnsi" w:hAnsiTheme="minorHAnsi"/>
        </w:rPr>
        <w:t>majority of the agricultural water users in the Subbasin.</w:t>
      </w:r>
      <w:r w:rsidR="00E94B27" w:rsidRPr="00F17D6E">
        <w:rPr>
          <w:rFonts w:asciiTheme="minorHAnsi" w:hAnsiTheme="minorHAnsi"/>
        </w:rPr>
        <w:t xml:space="preserve"> </w:t>
      </w:r>
      <w:r w:rsidRPr="00F17D6E">
        <w:rPr>
          <w:rFonts w:asciiTheme="minorHAnsi" w:hAnsiTheme="minorHAnsi"/>
        </w:rPr>
        <w:t xml:space="preserve">Each </w:t>
      </w:r>
      <w:r w:rsidR="00E94B27" w:rsidRPr="00F17D6E">
        <w:rPr>
          <w:rFonts w:asciiTheme="minorHAnsi" w:hAnsiTheme="minorHAnsi"/>
        </w:rPr>
        <w:t>water district maintains a list of lan</w:t>
      </w:r>
      <w:r w:rsidR="00797BEB" w:rsidRPr="00F17D6E">
        <w:rPr>
          <w:rFonts w:asciiTheme="minorHAnsi" w:hAnsiTheme="minorHAnsi"/>
        </w:rPr>
        <w:t>downers within its service area, and input from agricultural groundwater users will be integral to the development of the GSP.</w:t>
      </w:r>
    </w:p>
    <w:p w14:paraId="1AD201E2" w14:textId="77777777" w:rsidR="0091718F" w:rsidRPr="00F17D6E" w:rsidRDefault="0091718F" w:rsidP="0091718F">
      <w:pPr>
        <w:numPr>
          <w:ilvl w:val="2"/>
          <w:numId w:val="16"/>
        </w:numPr>
        <w:rPr>
          <w:rFonts w:asciiTheme="minorHAnsi" w:hAnsiTheme="minorHAnsi"/>
        </w:rPr>
      </w:pPr>
    </w:p>
    <w:p w14:paraId="2E68BE19" w14:textId="453BCA6D" w:rsidR="005F61CD" w:rsidRPr="00F17D6E" w:rsidRDefault="005F61CD" w:rsidP="0091718F">
      <w:pPr>
        <w:numPr>
          <w:ilvl w:val="2"/>
          <w:numId w:val="16"/>
        </w:numPr>
        <w:rPr>
          <w:rFonts w:asciiTheme="minorHAnsi" w:hAnsiTheme="minorHAnsi"/>
        </w:rPr>
      </w:pPr>
      <w:r w:rsidRPr="00F17D6E">
        <w:rPr>
          <w:rFonts w:asciiTheme="minorHAnsi" w:hAnsiTheme="minorHAnsi"/>
        </w:rPr>
        <w:t>Agricultural groundwater users in areas outside of the WRMWSD and AEWSD service areas will be engaged through the public outreach process prior to and during the development and implementation of the GSP.</w:t>
      </w:r>
    </w:p>
    <w:p w14:paraId="3F559CDE" w14:textId="77777777" w:rsidR="0091718F" w:rsidRPr="00F17D6E" w:rsidRDefault="0091718F" w:rsidP="0091718F">
      <w:pPr>
        <w:pStyle w:val="ListParagraph"/>
        <w:rPr>
          <w:rFonts w:asciiTheme="minorHAnsi" w:hAnsiTheme="minorHAnsi"/>
        </w:rPr>
      </w:pPr>
    </w:p>
    <w:p w14:paraId="54AB17E0" w14:textId="6DF5087F" w:rsidR="003B5503" w:rsidRPr="00F17D6E" w:rsidRDefault="003B5503" w:rsidP="00957ECB">
      <w:pPr>
        <w:numPr>
          <w:ilvl w:val="1"/>
          <w:numId w:val="16"/>
        </w:numPr>
        <w:spacing w:after="120"/>
        <w:rPr>
          <w:rFonts w:asciiTheme="minorHAnsi" w:hAnsiTheme="minorHAnsi"/>
          <w:i/>
        </w:rPr>
      </w:pPr>
      <w:r w:rsidRPr="00F17D6E">
        <w:rPr>
          <w:rFonts w:asciiTheme="minorHAnsi" w:hAnsiTheme="minorHAnsi"/>
          <w:i/>
        </w:rPr>
        <w:t xml:space="preserve">Domestic </w:t>
      </w:r>
      <w:r w:rsidR="00797BEB" w:rsidRPr="00F17D6E">
        <w:rPr>
          <w:rFonts w:asciiTheme="minorHAnsi" w:hAnsiTheme="minorHAnsi"/>
          <w:i/>
        </w:rPr>
        <w:t>well owners</w:t>
      </w:r>
    </w:p>
    <w:p w14:paraId="42BFD832" w14:textId="24F1723F" w:rsidR="00E8327E" w:rsidRPr="00F17D6E" w:rsidRDefault="008D6120" w:rsidP="0091718F">
      <w:pPr>
        <w:numPr>
          <w:ilvl w:val="2"/>
          <w:numId w:val="16"/>
        </w:numPr>
        <w:rPr>
          <w:rFonts w:asciiTheme="minorHAnsi" w:hAnsiTheme="minorHAnsi"/>
        </w:rPr>
      </w:pPr>
      <w:r w:rsidRPr="00F17D6E">
        <w:rPr>
          <w:rFonts w:asciiTheme="minorHAnsi" w:hAnsiTheme="minorHAnsi"/>
        </w:rPr>
        <w:lastRenderedPageBreak/>
        <w:t xml:space="preserve">The quantity and distribution of domestic well owners within the Subbasin is unknown. Through the public outreach process, the </w:t>
      </w:r>
      <w:r w:rsidR="0091718F" w:rsidRPr="00F17D6E">
        <w:rPr>
          <w:rFonts w:asciiTheme="minorHAnsi" w:hAnsiTheme="minorHAnsi"/>
        </w:rPr>
        <w:t>White Wolf </w:t>
      </w:r>
      <w:r w:rsidRPr="00F17D6E">
        <w:rPr>
          <w:rFonts w:asciiTheme="minorHAnsi" w:hAnsiTheme="minorHAnsi"/>
        </w:rPr>
        <w:t>GSA will seek to identify and engage domestic well owners prior to and during the development and implementation of the GSP.</w:t>
      </w:r>
    </w:p>
    <w:p w14:paraId="526FBA4D" w14:textId="77777777" w:rsidR="0091718F" w:rsidRPr="00F17D6E" w:rsidRDefault="0091718F" w:rsidP="0091718F">
      <w:pPr>
        <w:numPr>
          <w:ilvl w:val="2"/>
          <w:numId w:val="16"/>
        </w:numPr>
        <w:rPr>
          <w:rFonts w:asciiTheme="minorHAnsi" w:hAnsiTheme="minorHAnsi"/>
        </w:rPr>
      </w:pPr>
    </w:p>
    <w:p w14:paraId="54D5DE9D" w14:textId="1FADC88C" w:rsidR="001B4640" w:rsidRPr="00F17D6E" w:rsidRDefault="008D6120" w:rsidP="00957ECB">
      <w:pPr>
        <w:keepNext/>
        <w:numPr>
          <w:ilvl w:val="1"/>
          <w:numId w:val="16"/>
        </w:numPr>
        <w:spacing w:after="120"/>
        <w:rPr>
          <w:rFonts w:asciiTheme="minorHAnsi" w:hAnsiTheme="minorHAnsi"/>
          <w:i/>
        </w:rPr>
      </w:pPr>
      <w:r w:rsidRPr="00F17D6E">
        <w:rPr>
          <w:rFonts w:asciiTheme="minorHAnsi" w:hAnsiTheme="minorHAnsi"/>
          <w:i/>
        </w:rPr>
        <w:t xml:space="preserve">Commercial and </w:t>
      </w:r>
      <w:r w:rsidR="001B4640" w:rsidRPr="00F17D6E">
        <w:rPr>
          <w:rFonts w:asciiTheme="minorHAnsi" w:hAnsiTheme="minorHAnsi"/>
          <w:i/>
        </w:rPr>
        <w:t>Industrial users</w:t>
      </w:r>
      <w:r w:rsidR="0091718F" w:rsidRPr="00F17D6E">
        <w:rPr>
          <w:rFonts w:asciiTheme="minorHAnsi" w:hAnsiTheme="minorHAnsi"/>
          <w:i/>
        </w:rPr>
        <w:t xml:space="preserve"> (</w:t>
      </w:r>
      <w:bookmarkStart w:id="0" w:name="_GoBack"/>
      <w:bookmarkEnd w:id="0"/>
      <w:r w:rsidR="0091718F" w:rsidRPr="00F17D6E">
        <w:rPr>
          <w:rFonts w:asciiTheme="minorHAnsi" w:hAnsiTheme="minorHAnsi"/>
          <w:i/>
        </w:rPr>
        <w:t>additional interest considered by Notice)</w:t>
      </w:r>
    </w:p>
    <w:p w14:paraId="2BCA0ED1" w14:textId="35677030" w:rsidR="001B4640" w:rsidRPr="00F17D6E" w:rsidRDefault="001B4640" w:rsidP="0091718F">
      <w:pPr>
        <w:numPr>
          <w:ilvl w:val="2"/>
          <w:numId w:val="16"/>
        </w:numPr>
        <w:rPr>
          <w:rFonts w:asciiTheme="minorHAnsi" w:hAnsiTheme="minorHAnsi"/>
        </w:rPr>
      </w:pPr>
      <w:r w:rsidRPr="00F17D6E">
        <w:rPr>
          <w:rFonts w:asciiTheme="minorHAnsi" w:hAnsiTheme="minorHAnsi"/>
        </w:rPr>
        <w:t xml:space="preserve">The </w:t>
      </w:r>
      <w:proofErr w:type="spellStart"/>
      <w:r w:rsidRPr="00F17D6E">
        <w:rPr>
          <w:rFonts w:asciiTheme="minorHAnsi" w:hAnsiTheme="minorHAnsi"/>
        </w:rPr>
        <w:t>Pastoria</w:t>
      </w:r>
      <w:proofErr w:type="spellEnd"/>
      <w:r w:rsidRPr="00F17D6E">
        <w:rPr>
          <w:rFonts w:asciiTheme="minorHAnsi" w:hAnsiTheme="minorHAnsi"/>
        </w:rPr>
        <w:t xml:space="preserve"> Energy Facility, owned and operated by Calpine Corporation, is located on the southern border of the Subbasin, adjacent to the A.D. </w:t>
      </w:r>
      <w:proofErr w:type="spellStart"/>
      <w:r w:rsidRPr="00F17D6E">
        <w:rPr>
          <w:rFonts w:asciiTheme="minorHAnsi" w:hAnsiTheme="minorHAnsi"/>
        </w:rPr>
        <w:t>Edmonston</w:t>
      </w:r>
      <w:proofErr w:type="spellEnd"/>
      <w:r w:rsidRPr="00F17D6E">
        <w:rPr>
          <w:rFonts w:asciiTheme="minorHAnsi" w:hAnsiTheme="minorHAnsi"/>
        </w:rPr>
        <w:t xml:space="preserve"> Pumping Plant. </w:t>
      </w:r>
      <w:r w:rsidR="00875BD2" w:rsidRPr="00F17D6E">
        <w:rPr>
          <w:rFonts w:asciiTheme="minorHAnsi" w:hAnsiTheme="minorHAnsi"/>
        </w:rPr>
        <w:t xml:space="preserve">The </w:t>
      </w:r>
      <w:proofErr w:type="spellStart"/>
      <w:r w:rsidR="00875BD2" w:rsidRPr="00F17D6E">
        <w:rPr>
          <w:rFonts w:asciiTheme="minorHAnsi" w:hAnsiTheme="minorHAnsi"/>
        </w:rPr>
        <w:t>Pastoria</w:t>
      </w:r>
      <w:proofErr w:type="spellEnd"/>
      <w:r w:rsidR="00875BD2" w:rsidRPr="00F17D6E">
        <w:rPr>
          <w:rFonts w:asciiTheme="minorHAnsi" w:hAnsiTheme="minorHAnsi"/>
        </w:rPr>
        <w:t xml:space="preserve"> Energy Facility</w:t>
      </w:r>
      <w:r w:rsidR="007B1C22">
        <w:rPr>
          <w:rFonts w:asciiTheme="minorHAnsi" w:hAnsiTheme="minorHAnsi"/>
        </w:rPr>
        <w:t xml:space="preserve"> relies exclusively on surface water supplies. </w:t>
      </w:r>
      <w:r w:rsidRPr="00F17D6E">
        <w:rPr>
          <w:rFonts w:asciiTheme="minorHAnsi" w:hAnsiTheme="minorHAnsi"/>
        </w:rPr>
        <w:t>Griffith Company operates a sand and gravel mine in the Subbasin</w:t>
      </w:r>
      <w:r w:rsidR="00875BD2">
        <w:rPr>
          <w:rFonts w:asciiTheme="minorHAnsi" w:hAnsiTheme="minorHAnsi"/>
        </w:rPr>
        <w:t xml:space="preserve"> and</w:t>
      </w:r>
      <w:r w:rsidR="007B1C22">
        <w:rPr>
          <w:rFonts w:asciiTheme="minorHAnsi" w:hAnsiTheme="minorHAnsi"/>
        </w:rPr>
        <w:t xml:space="preserve"> relies on both surface and groundwater supplies. </w:t>
      </w:r>
      <w:r w:rsidR="008E5DD1">
        <w:rPr>
          <w:rFonts w:asciiTheme="minorHAnsi" w:hAnsiTheme="minorHAnsi"/>
        </w:rPr>
        <w:t>B</w:t>
      </w:r>
      <w:r w:rsidRPr="00F17D6E">
        <w:rPr>
          <w:rFonts w:asciiTheme="minorHAnsi" w:hAnsiTheme="minorHAnsi"/>
        </w:rPr>
        <w:t>oth facilities will be engaged prior to and during the development and implementation of the GSP.</w:t>
      </w:r>
    </w:p>
    <w:p w14:paraId="234B0B05" w14:textId="77777777" w:rsidR="0091718F" w:rsidRPr="00F17D6E" w:rsidRDefault="0091718F" w:rsidP="0091718F">
      <w:pPr>
        <w:numPr>
          <w:ilvl w:val="2"/>
          <w:numId w:val="16"/>
        </w:numPr>
        <w:rPr>
          <w:rFonts w:asciiTheme="minorHAnsi" w:hAnsiTheme="minorHAnsi"/>
        </w:rPr>
      </w:pPr>
    </w:p>
    <w:p w14:paraId="01A74358" w14:textId="2E3D9FD6" w:rsidR="00DE17A3" w:rsidRPr="00F17D6E" w:rsidRDefault="00DE17A3" w:rsidP="0091718F">
      <w:pPr>
        <w:numPr>
          <w:ilvl w:val="2"/>
          <w:numId w:val="16"/>
        </w:numPr>
        <w:rPr>
          <w:rFonts w:asciiTheme="minorHAnsi" w:hAnsiTheme="minorHAnsi"/>
        </w:rPr>
      </w:pPr>
      <w:r w:rsidRPr="00F17D6E">
        <w:rPr>
          <w:rFonts w:asciiTheme="minorHAnsi" w:hAnsiTheme="minorHAnsi"/>
        </w:rPr>
        <w:t xml:space="preserve">The Subbasin has historically been a productive region for oil and gas exploration. Active oil fields in the Subbasin include the following: Comanche Point, North </w:t>
      </w:r>
      <w:proofErr w:type="spellStart"/>
      <w:r w:rsidRPr="00F17D6E">
        <w:rPr>
          <w:rFonts w:asciiTheme="minorHAnsi" w:hAnsiTheme="minorHAnsi"/>
        </w:rPr>
        <w:t>Tejon</w:t>
      </w:r>
      <w:proofErr w:type="spellEnd"/>
      <w:r w:rsidRPr="00F17D6E">
        <w:rPr>
          <w:rFonts w:asciiTheme="minorHAnsi" w:hAnsiTheme="minorHAnsi"/>
        </w:rPr>
        <w:t xml:space="preserve">, </w:t>
      </w:r>
      <w:proofErr w:type="spellStart"/>
      <w:r w:rsidRPr="00F17D6E">
        <w:rPr>
          <w:rFonts w:asciiTheme="minorHAnsi" w:hAnsiTheme="minorHAnsi"/>
        </w:rPr>
        <w:t>Pleito</w:t>
      </w:r>
      <w:proofErr w:type="spellEnd"/>
      <w:r w:rsidRPr="00F17D6E">
        <w:rPr>
          <w:rFonts w:asciiTheme="minorHAnsi" w:hAnsiTheme="minorHAnsi"/>
        </w:rPr>
        <w:t xml:space="preserve">, </w:t>
      </w:r>
      <w:proofErr w:type="spellStart"/>
      <w:r w:rsidRPr="00F17D6E">
        <w:rPr>
          <w:rFonts w:asciiTheme="minorHAnsi" w:hAnsiTheme="minorHAnsi"/>
        </w:rPr>
        <w:t>Tejon</w:t>
      </w:r>
      <w:proofErr w:type="spellEnd"/>
      <w:r w:rsidRPr="00F17D6E">
        <w:rPr>
          <w:rFonts w:asciiTheme="minorHAnsi" w:hAnsiTheme="minorHAnsi"/>
        </w:rPr>
        <w:t xml:space="preserve">, </w:t>
      </w:r>
      <w:proofErr w:type="spellStart"/>
      <w:r w:rsidRPr="00F17D6E">
        <w:rPr>
          <w:rFonts w:asciiTheme="minorHAnsi" w:hAnsiTheme="minorHAnsi"/>
        </w:rPr>
        <w:t>Tejon</w:t>
      </w:r>
      <w:proofErr w:type="spellEnd"/>
      <w:r w:rsidRPr="00F17D6E">
        <w:rPr>
          <w:rFonts w:asciiTheme="minorHAnsi" w:hAnsiTheme="minorHAnsi"/>
        </w:rPr>
        <w:t xml:space="preserve"> Hills, </w:t>
      </w:r>
      <w:proofErr w:type="spellStart"/>
      <w:r w:rsidRPr="00F17D6E">
        <w:rPr>
          <w:rFonts w:asciiTheme="minorHAnsi" w:hAnsiTheme="minorHAnsi"/>
        </w:rPr>
        <w:t>Valpredo</w:t>
      </w:r>
      <w:proofErr w:type="spellEnd"/>
      <w:r w:rsidRPr="00F17D6E">
        <w:rPr>
          <w:rFonts w:asciiTheme="minorHAnsi" w:hAnsiTheme="minorHAnsi"/>
        </w:rPr>
        <w:t xml:space="preserve">, and Wheeler Ridge. </w:t>
      </w:r>
      <w:r w:rsidR="001D7538" w:rsidRPr="00F17D6E">
        <w:rPr>
          <w:rFonts w:asciiTheme="minorHAnsi" w:hAnsiTheme="minorHAnsi"/>
        </w:rPr>
        <w:t>O</w:t>
      </w:r>
      <w:r w:rsidRPr="00F17D6E">
        <w:rPr>
          <w:rFonts w:asciiTheme="minorHAnsi" w:hAnsiTheme="minorHAnsi"/>
        </w:rPr>
        <w:t xml:space="preserve">il and gas </w:t>
      </w:r>
      <w:r w:rsidR="001D7538" w:rsidRPr="00F17D6E">
        <w:rPr>
          <w:rFonts w:asciiTheme="minorHAnsi" w:hAnsiTheme="minorHAnsi"/>
        </w:rPr>
        <w:t xml:space="preserve">groundwater users generally extract water from hydrocarbon-bearing zones beneath the vertical extent of the Subbasin, defined in the Request as the depth where groundwater exceeds 3,000 milligrams per liter of total dissolved solids. The </w:t>
      </w:r>
      <w:r w:rsidR="0091718F" w:rsidRPr="00F17D6E">
        <w:rPr>
          <w:rFonts w:asciiTheme="minorHAnsi" w:hAnsiTheme="minorHAnsi"/>
        </w:rPr>
        <w:t>White Wolf </w:t>
      </w:r>
      <w:r w:rsidR="001D7538" w:rsidRPr="00F17D6E">
        <w:rPr>
          <w:rFonts w:asciiTheme="minorHAnsi" w:hAnsiTheme="minorHAnsi"/>
        </w:rPr>
        <w:t>GSA will work closely with the oil and gas industry prior to and during the development and implementation of the GSP.</w:t>
      </w:r>
    </w:p>
    <w:p w14:paraId="41312C3F" w14:textId="77777777" w:rsidR="0091718F" w:rsidRPr="00F17D6E" w:rsidRDefault="0091718F" w:rsidP="0091718F">
      <w:pPr>
        <w:pStyle w:val="ListParagraph"/>
        <w:rPr>
          <w:rFonts w:asciiTheme="minorHAnsi" w:hAnsiTheme="minorHAnsi"/>
        </w:rPr>
      </w:pPr>
    </w:p>
    <w:p w14:paraId="0027E2C5" w14:textId="1FBEA563" w:rsidR="009E4E3F" w:rsidRPr="00F17D6E" w:rsidRDefault="008D6120" w:rsidP="009E4E3F">
      <w:pPr>
        <w:numPr>
          <w:ilvl w:val="2"/>
          <w:numId w:val="16"/>
        </w:numPr>
        <w:rPr>
          <w:rFonts w:asciiTheme="minorHAnsi" w:hAnsiTheme="minorHAnsi"/>
        </w:rPr>
      </w:pPr>
      <w:r w:rsidRPr="00F17D6E">
        <w:rPr>
          <w:rFonts w:asciiTheme="minorHAnsi" w:hAnsiTheme="minorHAnsi"/>
        </w:rPr>
        <w:t xml:space="preserve">The </w:t>
      </w:r>
      <w:proofErr w:type="spellStart"/>
      <w:r w:rsidRPr="00F17D6E">
        <w:rPr>
          <w:rFonts w:asciiTheme="minorHAnsi" w:hAnsiTheme="minorHAnsi"/>
        </w:rPr>
        <w:t>Tejon</w:t>
      </w:r>
      <w:proofErr w:type="spellEnd"/>
      <w:r w:rsidRPr="00F17D6E">
        <w:rPr>
          <w:rFonts w:asciiTheme="minorHAnsi" w:hAnsiTheme="minorHAnsi"/>
        </w:rPr>
        <w:t xml:space="preserve"> Ranch Commerce Center (TRCC), owned and operated by the </w:t>
      </w:r>
      <w:proofErr w:type="spellStart"/>
      <w:r w:rsidRPr="00F17D6E">
        <w:rPr>
          <w:rFonts w:asciiTheme="minorHAnsi" w:hAnsiTheme="minorHAnsi"/>
        </w:rPr>
        <w:t>Tejon</w:t>
      </w:r>
      <w:proofErr w:type="spellEnd"/>
      <w:r w:rsidRPr="00F17D6E">
        <w:rPr>
          <w:rFonts w:asciiTheme="minorHAnsi" w:hAnsiTheme="minorHAnsi"/>
        </w:rPr>
        <w:t xml:space="preserve"> Ranch Company</w:t>
      </w:r>
      <w:r w:rsidR="002D02B2">
        <w:rPr>
          <w:rFonts w:asciiTheme="minorHAnsi" w:hAnsiTheme="minorHAnsi"/>
        </w:rPr>
        <w:t xml:space="preserve"> (TRC</w:t>
      </w:r>
      <w:r w:rsidR="00023D7D" w:rsidRPr="00F17D6E">
        <w:rPr>
          <w:rFonts w:asciiTheme="minorHAnsi" w:hAnsiTheme="minorHAnsi"/>
        </w:rPr>
        <w:t>)</w:t>
      </w:r>
      <w:r w:rsidRPr="00F17D6E">
        <w:rPr>
          <w:rFonts w:asciiTheme="minorHAnsi" w:hAnsiTheme="minorHAnsi"/>
        </w:rPr>
        <w:t xml:space="preserve"> and served by </w:t>
      </w:r>
      <w:proofErr w:type="spellStart"/>
      <w:r w:rsidR="00310714">
        <w:rPr>
          <w:rFonts w:asciiTheme="minorHAnsi" w:hAnsiTheme="minorHAnsi"/>
        </w:rPr>
        <w:t>Tejon-Castac</w:t>
      </w:r>
      <w:proofErr w:type="spellEnd"/>
      <w:r w:rsidR="00310714">
        <w:rPr>
          <w:rFonts w:asciiTheme="minorHAnsi" w:hAnsiTheme="minorHAnsi"/>
        </w:rPr>
        <w:t xml:space="preserve"> Water District (</w:t>
      </w:r>
      <w:r w:rsidR="002D02B2">
        <w:rPr>
          <w:rFonts w:asciiTheme="minorHAnsi" w:hAnsiTheme="minorHAnsi"/>
        </w:rPr>
        <w:t>TCWD</w:t>
      </w:r>
      <w:r w:rsidR="00310714">
        <w:rPr>
          <w:rFonts w:asciiTheme="minorHAnsi" w:hAnsiTheme="minorHAnsi"/>
        </w:rPr>
        <w:t>)</w:t>
      </w:r>
      <w:r w:rsidRPr="00F17D6E">
        <w:rPr>
          <w:rFonts w:asciiTheme="minorHAnsi" w:hAnsiTheme="minorHAnsi"/>
        </w:rPr>
        <w:t>, is the only large non-agricultural development in the Subbasin.</w:t>
      </w:r>
      <w:r w:rsidR="009E4E3F" w:rsidRPr="00F17D6E">
        <w:rPr>
          <w:rFonts w:asciiTheme="minorHAnsi" w:hAnsiTheme="minorHAnsi"/>
        </w:rPr>
        <w:t xml:space="preserve"> The interests of the TRCC will be considered in the development and implementation of the GSP through TCWD’s participation in the White Wolf GSA.</w:t>
      </w:r>
    </w:p>
    <w:p w14:paraId="4D36E850" w14:textId="7A682E3A" w:rsidR="008D6120" w:rsidRPr="00F17D6E" w:rsidRDefault="008D6120" w:rsidP="0091718F">
      <w:pPr>
        <w:numPr>
          <w:ilvl w:val="2"/>
          <w:numId w:val="16"/>
        </w:numPr>
        <w:rPr>
          <w:rFonts w:asciiTheme="minorHAnsi" w:hAnsiTheme="minorHAnsi"/>
        </w:rPr>
      </w:pPr>
    </w:p>
    <w:p w14:paraId="4045107F" w14:textId="67F05D62" w:rsidR="00E37391" w:rsidRPr="00F17D6E" w:rsidRDefault="00E37391" w:rsidP="0091718F">
      <w:pPr>
        <w:numPr>
          <w:ilvl w:val="2"/>
          <w:numId w:val="16"/>
        </w:numPr>
        <w:rPr>
          <w:rFonts w:asciiTheme="minorHAnsi" w:hAnsiTheme="minorHAnsi"/>
        </w:rPr>
      </w:pPr>
      <w:r w:rsidRPr="00F17D6E">
        <w:rPr>
          <w:rFonts w:asciiTheme="minorHAnsi" w:hAnsiTheme="minorHAnsi"/>
        </w:rPr>
        <w:t>Additional commercial and industrial groundwater users, if identified, will be engaged prior to and during the development and implementation of the GSP.</w:t>
      </w:r>
    </w:p>
    <w:p w14:paraId="167B320C" w14:textId="77777777" w:rsidR="0091718F" w:rsidRPr="00F17D6E" w:rsidRDefault="0091718F" w:rsidP="0091718F">
      <w:pPr>
        <w:numPr>
          <w:ilvl w:val="2"/>
          <w:numId w:val="16"/>
        </w:numPr>
        <w:rPr>
          <w:rFonts w:asciiTheme="minorHAnsi" w:hAnsiTheme="minorHAnsi"/>
        </w:rPr>
      </w:pPr>
    </w:p>
    <w:p w14:paraId="08CF2B2A" w14:textId="5E8BEF83" w:rsidR="003B5503" w:rsidRPr="00F17D6E" w:rsidRDefault="00797BEB" w:rsidP="00957ECB">
      <w:pPr>
        <w:numPr>
          <w:ilvl w:val="0"/>
          <w:numId w:val="17"/>
        </w:numPr>
        <w:spacing w:after="120"/>
        <w:rPr>
          <w:rFonts w:asciiTheme="minorHAnsi" w:hAnsiTheme="minorHAnsi"/>
          <w:i/>
        </w:rPr>
      </w:pPr>
      <w:r w:rsidRPr="00F17D6E">
        <w:rPr>
          <w:rFonts w:asciiTheme="minorHAnsi" w:hAnsiTheme="minorHAnsi"/>
          <w:i/>
        </w:rPr>
        <w:t>Municipal well operators</w:t>
      </w:r>
    </w:p>
    <w:p w14:paraId="0EB79379" w14:textId="7B54F4BC" w:rsidR="00E8327E" w:rsidRPr="00F17D6E" w:rsidRDefault="00E94B27" w:rsidP="0091718F">
      <w:pPr>
        <w:numPr>
          <w:ilvl w:val="1"/>
          <w:numId w:val="17"/>
        </w:numPr>
        <w:rPr>
          <w:rFonts w:asciiTheme="minorHAnsi" w:hAnsiTheme="minorHAnsi"/>
        </w:rPr>
      </w:pPr>
      <w:r w:rsidRPr="00F17D6E">
        <w:rPr>
          <w:rFonts w:asciiTheme="minorHAnsi" w:hAnsiTheme="minorHAnsi"/>
        </w:rPr>
        <w:t>T</w:t>
      </w:r>
      <w:r w:rsidR="005270E1" w:rsidRPr="00F17D6E">
        <w:rPr>
          <w:rFonts w:asciiTheme="minorHAnsi" w:hAnsiTheme="minorHAnsi"/>
        </w:rPr>
        <w:t xml:space="preserve">here are currently no </w:t>
      </w:r>
      <w:r w:rsidR="008D6120" w:rsidRPr="00F17D6E">
        <w:rPr>
          <w:rFonts w:asciiTheme="minorHAnsi" w:hAnsiTheme="minorHAnsi"/>
        </w:rPr>
        <w:t xml:space="preserve">identified </w:t>
      </w:r>
      <w:r w:rsidR="005270E1" w:rsidRPr="00F17D6E">
        <w:rPr>
          <w:rFonts w:asciiTheme="minorHAnsi" w:hAnsiTheme="minorHAnsi"/>
        </w:rPr>
        <w:t xml:space="preserve">municipal </w:t>
      </w:r>
      <w:r w:rsidR="008D6120" w:rsidRPr="00F17D6E">
        <w:rPr>
          <w:rFonts w:asciiTheme="minorHAnsi" w:hAnsiTheme="minorHAnsi"/>
        </w:rPr>
        <w:t>well operators within the Subbasin.</w:t>
      </w:r>
    </w:p>
    <w:p w14:paraId="135CDD33" w14:textId="77777777" w:rsidR="0091718F" w:rsidRPr="00F17D6E" w:rsidRDefault="0091718F" w:rsidP="0091718F">
      <w:pPr>
        <w:numPr>
          <w:ilvl w:val="1"/>
          <w:numId w:val="17"/>
        </w:numPr>
        <w:rPr>
          <w:rFonts w:asciiTheme="minorHAnsi" w:hAnsiTheme="minorHAnsi"/>
        </w:rPr>
      </w:pPr>
    </w:p>
    <w:p w14:paraId="33A14430" w14:textId="28129A61" w:rsidR="003B5503" w:rsidRPr="00F17D6E" w:rsidRDefault="00797BEB" w:rsidP="00957ECB">
      <w:pPr>
        <w:numPr>
          <w:ilvl w:val="0"/>
          <w:numId w:val="17"/>
        </w:numPr>
        <w:spacing w:after="120"/>
        <w:rPr>
          <w:rFonts w:asciiTheme="minorHAnsi" w:hAnsiTheme="minorHAnsi"/>
          <w:i/>
        </w:rPr>
      </w:pPr>
      <w:r w:rsidRPr="00F17D6E">
        <w:rPr>
          <w:rFonts w:asciiTheme="minorHAnsi" w:hAnsiTheme="minorHAnsi"/>
          <w:i/>
        </w:rPr>
        <w:t>Public water systems</w:t>
      </w:r>
    </w:p>
    <w:p w14:paraId="1DD619D2" w14:textId="16B12321" w:rsidR="009E4E3F" w:rsidRPr="00F17D6E" w:rsidRDefault="007B1C22" w:rsidP="009E4E3F">
      <w:pPr>
        <w:numPr>
          <w:ilvl w:val="1"/>
          <w:numId w:val="17"/>
        </w:numPr>
        <w:rPr>
          <w:rFonts w:asciiTheme="minorHAnsi" w:hAnsiTheme="minorHAnsi"/>
        </w:rPr>
      </w:pPr>
      <w:r>
        <w:rPr>
          <w:rFonts w:asciiTheme="minorHAnsi" w:hAnsiTheme="minorHAnsi"/>
        </w:rPr>
        <w:t xml:space="preserve">Although all four parties are public agencies, only TCWD is a Public Water Agency providing potable water service. WRMWSD and AEWSD provide untreated water for irrigation and industrial purposes, and the County does not provide water </w:t>
      </w:r>
      <w:r>
        <w:rPr>
          <w:rFonts w:asciiTheme="minorHAnsi" w:hAnsiTheme="minorHAnsi"/>
        </w:rPr>
        <w:lastRenderedPageBreak/>
        <w:t>ser</w:t>
      </w:r>
      <w:r w:rsidR="00875BD2">
        <w:rPr>
          <w:rFonts w:asciiTheme="minorHAnsi" w:hAnsiTheme="minorHAnsi"/>
        </w:rPr>
        <w:t>vic</w:t>
      </w:r>
      <w:r>
        <w:rPr>
          <w:rFonts w:asciiTheme="minorHAnsi" w:hAnsiTheme="minorHAnsi"/>
        </w:rPr>
        <w:t xml:space="preserve">e. </w:t>
      </w:r>
      <w:r w:rsidR="009E4E3F" w:rsidRPr="00F17D6E">
        <w:rPr>
          <w:rFonts w:asciiTheme="minorHAnsi" w:hAnsiTheme="minorHAnsi"/>
        </w:rPr>
        <w:t>These entities will be actively involved in the development and implementation of the GSP through their participation in the White Wolf GSA.</w:t>
      </w:r>
    </w:p>
    <w:p w14:paraId="55E69E44" w14:textId="77777777" w:rsidR="009E4E3F" w:rsidRPr="00F17D6E" w:rsidRDefault="009E4E3F" w:rsidP="009E4E3F">
      <w:pPr>
        <w:numPr>
          <w:ilvl w:val="1"/>
          <w:numId w:val="17"/>
        </w:numPr>
        <w:rPr>
          <w:rFonts w:asciiTheme="minorHAnsi" w:hAnsiTheme="minorHAnsi"/>
        </w:rPr>
      </w:pPr>
    </w:p>
    <w:p w14:paraId="7EDF2EF5" w14:textId="2BA046E3" w:rsidR="00197430" w:rsidRPr="00F17D6E" w:rsidRDefault="00197430" w:rsidP="00197430">
      <w:pPr>
        <w:numPr>
          <w:ilvl w:val="1"/>
          <w:numId w:val="17"/>
        </w:numPr>
        <w:rPr>
          <w:rFonts w:asciiTheme="minorHAnsi" w:hAnsiTheme="minorHAnsi"/>
        </w:rPr>
      </w:pPr>
      <w:r w:rsidRPr="00F17D6E">
        <w:rPr>
          <w:rFonts w:asciiTheme="minorHAnsi" w:hAnsiTheme="minorHAnsi"/>
        </w:rPr>
        <w:t>Tehachapi Cummings County Water District (TCCWD) overlies a very small portion of the Subbasin in the eastern uplands. As part of the basin boundary modification process, TCWD informed TCCWD of the overlap. The TCCWD stated that it had no interested in the management of the White Wolf Subbasin under SGMA, and that the apparent overlap was likely a result of im</w:t>
      </w:r>
      <w:r w:rsidR="00023D7D" w:rsidRPr="00F17D6E">
        <w:rPr>
          <w:rFonts w:asciiTheme="minorHAnsi" w:hAnsiTheme="minorHAnsi"/>
        </w:rPr>
        <w:t>perfect shapefiles</w:t>
      </w:r>
      <w:r w:rsidRPr="00F17D6E">
        <w:rPr>
          <w:rFonts w:asciiTheme="minorHAnsi" w:hAnsiTheme="minorHAnsi"/>
        </w:rPr>
        <w:t>.</w:t>
      </w:r>
      <w:r w:rsidR="00023D7D" w:rsidRPr="00F17D6E">
        <w:rPr>
          <w:rStyle w:val="FootnoteReference"/>
          <w:rFonts w:asciiTheme="minorHAnsi" w:hAnsiTheme="minorHAnsi"/>
        </w:rPr>
        <w:footnoteReference w:id="2"/>
      </w:r>
      <w:r w:rsidRPr="00F17D6E">
        <w:rPr>
          <w:rFonts w:asciiTheme="minorHAnsi" w:hAnsiTheme="minorHAnsi"/>
        </w:rPr>
        <w:t xml:space="preserve"> </w:t>
      </w:r>
    </w:p>
    <w:p w14:paraId="58086F07" w14:textId="77777777" w:rsidR="00197430" w:rsidRPr="00F17D6E" w:rsidRDefault="00197430" w:rsidP="0091718F">
      <w:pPr>
        <w:numPr>
          <w:ilvl w:val="1"/>
          <w:numId w:val="17"/>
        </w:numPr>
        <w:rPr>
          <w:rFonts w:asciiTheme="minorHAnsi" w:hAnsiTheme="minorHAnsi"/>
        </w:rPr>
      </w:pPr>
    </w:p>
    <w:p w14:paraId="4CC1C29C" w14:textId="21CF0F05" w:rsidR="004F2537" w:rsidRPr="00F17D6E" w:rsidRDefault="008D6120" w:rsidP="0091718F">
      <w:pPr>
        <w:numPr>
          <w:ilvl w:val="1"/>
          <w:numId w:val="17"/>
        </w:numPr>
        <w:rPr>
          <w:rFonts w:asciiTheme="minorHAnsi" w:hAnsiTheme="minorHAnsi"/>
        </w:rPr>
      </w:pPr>
      <w:r w:rsidRPr="00F17D6E">
        <w:rPr>
          <w:rFonts w:asciiTheme="minorHAnsi" w:hAnsiTheme="minorHAnsi"/>
        </w:rPr>
        <w:t xml:space="preserve">The </w:t>
      </w:r>
      <w:r w:rsidR="0091718F" w:rsidRPr="00F17D6E">
        <w:rPr>
          <w:rFonts w:asciiTheme="minorHAnsi" w:hAnsiTheme="minorHAnsi"/>
        </w:rPr>
        <w:t>White Wolf </w:t>
      </w:r>
      <w:r w:rsidRPr="00F17D6E">
        <w:rPr>
          <w:rFonts w:asciiTheme="minorHAnsi" w:hAnsiTheme="minorHAnsi"/>
        </w:rPr>
        <w:t>GSA will seek to identify a</w:t>
      </w:r>
      <w:r w:rsidR="00197430" w:rsidRPr="00F17D6E">
        <w:rPr>
          <w:rFonts w:asciiTheme="minorHAnsi" w:hAnsiTheme="minorHAnsi"/>
        </w:rPr>
        <w:t>n</w:t>
      </w:r>
      <w:r w:rsidRPr="00F17D6E">
        <w:rPr>
          <w:rFonts w:asciiTheme="minorHAnsi" w:hAnsiTheme="minorHAnsi"/>
        </w:rPr>
        <w:t>d engage any additional water systems prior to and during the development and implementation of the GSP</w:t>
      </w:r>
      <w:r w:rsidR="005F61CD" w:rsidRPr="00F17D6E">
        <w:rPr>
          <w:rFonts w:asciiTheme="minorHAnsi" w:hAnsiTheme="minorHAnsi"/>
        </w:rPr>
        <w:t>.</w:t>
      </w:r>
    </w:p>
    <w:p w14:paraId="676CBE7C" w14:textId="77777777" w:rsidR="0091718F" w:rsidRPr="00F17D6E" w:rsidRDefault="0091718F" w:rsidP="0091718F">
      <w:pPr>
        <w:pStyle w:val="ListParagraph"/>
        <w:rPr>
          <w:rFonts w:asciiTheme="minorHAnsi" w:hAnsiTheme="minorHAnsi"/>
          <w:highlight w:val="yellow"/>
        </w:rPr>
      </w:pPr>
    </w:p>
    <w:p w14:paraId="4053C2B6" w14:textId="1B66A46F" w:rsidR="003B5503" w:rsidRPr="00F17D6E" w:rsidRDefault="003B5503" w:rsidP="00957ECB">
      <w:pPr>
        <w:numPr>
          <w:ilvl w:val="0"/>
          <w:numId w:val="17"/>
        </w:numPr>
        <w:spacing w:after="120"/>
        <w:rPr>
          <w:rFonts w:asciiTheme="minorHAnsi" w:hAnsiTheme="minorHAnsi"/>
          <w:i/>
        </w:rPr>
      </w:pPr>
      <w:r w:rsidRPr="00F17D6E">
        <w:rPr>
          <w:rFonts w:asciiTheme="minorHAnsi" w:hAnsiTheme="minorHAnsi"/>
          <w:i/>
        </w:rPr>
        <w:t xml:space="preserve">Local </w:t>
      </w:r>
      <w:r w:rsidR="00797BEB" w:rsidRPr="00F17D6E">
        <w:rPr>
          <w:rFonts w:asciiTheme="minorHAnsi" w:hAnsiTheme="minorHAnsi"/>
          <w:i/>
        </w:rPr>
        <w:t>land use planning agencies</w:t>
      </w:r>
    </w:p>
    <w:p w14:paraId="51B68BD6" w14:textId="22CCB57C" w:rsidR="00E37391" w:rsidRPr="00F17D6E" w:rsidRDefault="0091718F" w:rsidP="0091718F">
      <w:pPr>
        <w:numPr>
          <w:ilvl w:val="1"/>
          <w:numId w:val="17"/>
        </w:numPr>
        <w:rPr>
          <w:rFonts w:asciiTheme="minorHAnsi" w:hAnsiTheme="minorHAnsi"/>
        </w:rPr>
      </w:pPr>
      <w:r w:rsidRPr="00F17D6E">
        <w:rPr>
          <w:rFonts w:asciiTheme="minorHAnsi" w:hAnsiTheme="minorHAnsi"/>
        </w:rPr>
        <w:t xml:space="preserve">The entire Subbasin is comprised of unincorporated County land, and the </w:t>
      </w:r>
      <w:r w:rsidR="00E37391" w:rsidRPr="00F17D6E">
        <w:rPr>
          <w:rFonts w:asciiTheme="minorHAnsi" w:hAnsiTheme="minorHAnsi"/>
        </w:rPr>
        <w:t xml:space="preserve">Kern County Planning </w:t>
      </w:r>
      <w:r w:rsidRPr="00F17D6E">
        <w:rPr>
          <w:rFonts w:asciiTheme="minorHAnsi" w:hAnsiTheme="minorHAnsi"/>
        </w:rPr>
        <w:t xml:space="preserve">and Community Development is responsible for land use planning in the Subbasin. The County </w:t>
      </w:r>
      <w:r w:rsidR="009E4E3F" w:rsidRPr="00F17D6E">
        <w:rPr>
          <w:rFonts w:asciiTheme="minorHAnsi" w:hAnsiTheme="minorHAnsi"/>
        </w:rPr>
        <w:t>will be actively involved in the development and implementation of the GSP through its participation in the White Wolf GSA.</w:t>
      </w:r>
    </w:p>
    <w:p w14:paraId="36FF6E0B" w14:textId="77777777" w:rsidR="0091718F" w:rsidRPr="00F17D6E" w:rsidRDefault="0091718F" w:rsidP="0091718F">
      <w:pPr>
        <w:numPr>
          <w:ilvl w:val="1"/>
          <w:numId w:val="17"/>
        </w:numPr>
        <w:rPr>
          <w:rFonts w:asciiTheme="minorHAnsi" w:hAnsiTheme="minorHAnsi"/>
        </w:rPr>
      </w:pPr>
    </w:p>
    <w:p w14:paraId="01AFD0F3" w14:textId="77777777" w:rsidR="003B5503" w:rsidRPr="00F17D6E" w:rsidRDefault="003B5503" w:rsidP="00957ECB">
      <w:pPr>
        <w:keepNext/>
        <w:numPr>
          <w:ilvl w:val="0"/>
          <w:numId w:val="17"/>
        </w:numPr>
        <w:spacing w:after="120"/>
        <w:rPr>
          <w:rFonts w:asciiTheme="minorHAnsi" w:hAnsiTheme="minorHAnsi"/>
          <w:i/>
        </w:rPr>
      </w:pPr>
      <w:r w:rsidRPr="00F17D6E">
        <w:rPr>
          <w:rFonts w:asciiTheme="minorHAnsi" w:hAnsiTheme="minorHAnsi"/>
          <w:i/>
        </w:rPr>
        <w:t>Environmental users of groundwater.</w:t>
      </w:r>
    </w:p>
    <w:p w14:paraId="50EFAD87" w14:textId="66397C16" w:rsidR="00E8327E" w:rsidRPr="00F17D6E" w:rsidRDefault="00797BEB" w:rsidP="0091718F">
      <w:pPr>
        <w:numPr>
          <w:ilvl w:val="1"/>
          <w:numId w:val="17"/>
        </w:numPr>
        <w:rPr>
          <w:rFonts w:asciiTheme="minorHAnsi" w:hAnsiTheme="minorHAnsi"/>
        </w:rPr>
      </w:pPr>
      <w:r w:rsidRPr="00F17D6E">
        <w:rPr>
          <w:rFonts w:asciiTheme="minorHAnsi" w:hAnsiTheme="minorHAnsi"/>
        </w:rPr>
        <w:t xml:space="preserve">There is minimal interaction between groundwater and surface water in the Subbasin. In most of the Subbasin, the water table lies </w:t>
      </w:r>
      <w:r w:rsidR="00426761" w:rsidRPr="00F17D6E">
        <w:rPr>
          <w:rFonts w:asciiTheme="minorHAnsi" w:hAnsiTheme="minorHAnsi"/>
        </w:rPr>
        <w:t>more than 300 </w:t>
      </w:r>
      <w:r w:rsidRPr="00F17D6E">
        <w:rPr>
          <w:rFonts w:asciiTheme="minorHAnsi" w:hAnsiTheme="minorHAnsi"/>
        </w:rPr>
        <w:t>feet below land surface</w:t>
      </w:r>
      <w:r w:rsidR="00023D7D" w:rsidRPr="00F17D6E">
        <w:rPr>
          <w:rStyle w:val="FootnoteReference"/>
          <w:rFonts w:asciiTheme="minorHAnsi" w:hAnsiTheme="minorHAnsi"/>
        </w:rPr>
        <w:footnoteReference w:id="3"/>
      </w:r>
      <w:r w:rsidR="00023D7D" w:rsidRPr="00F17D6E">
        <w:rPr>
          <w:rFonts w:asciiTheme="minorHAnsi" w:hAnsiTheme="minorHAnsi"/>
        </w:rPr>
        <w:t xml:space="preserve"> </w:t>
      </w:r>
      <w:r w:rsidRPr="00F17D6E">
        <w:rPr>
          <w:rFonts w:asciiTheme="minorHAnsi" w:hAnsiTheme="minorHAnsi"/>
        </w:rPr>
        <w:t>and thus there is no groundwater contribution to stream flow. In the vicinity of the Springs Fault in the southeastern corner of the Subbasin, however, there is evidence of spring flow contributing to a strip of natural well-watered vegetation in an otherwise dry land cover. The spring discharge rate is estimated to be approximately 200 to 500 acre-feet per year.</w:t>
      </w:r>
      <w:r w:rsidR="00023D7D" w:rsidRPr="00F17D6E">
        <w:rPr>
          <w:rStyle w:val="FootnoteReference"/>
          <w:rFonts w:asciiTheme="minorHAnsi" w:hAnsiTheme="minorHAnsi"/>
        </w:rPr>
        <w:footnoteReference w:id="4"/>
      </w:r>
    </w:p>
    <w:p w14:paraId="11801579" w14:textId="3B6F13F0" w:rsidR="009E4E3F" w:rsidRPr="00F17D6E" w:rsidRDefault="009E4E3F" w:rsidP="0091718F">
      <w:pPr>
        <w:numPr>
          <w:ilvl w:val="1"/>
          <w:numId w:val="17"/>
        </w:numPr>
        <w:rPr>
          <w:rFonts w:asciiTheme="minorHAnsi" w:hAnsiTheme="minorHAnsi"/>
        </w:rPr>
      </w:pPr>
    </w:p>
    <w:p w14:paraId="3684BE16" w14:textId="10A51700" w:rsidR="009E4E3F" w:rsidRPr="00F17D6E" w:rsidRDefault="009E4E3F" w:rsidP="009E4E3F">
      <w:pPr>
        <w:numPr>
          <w:ilvl w:val="1"/>
          <w:numId w:val="17"/>
        </w:numPr>
        <w:rPr>
          <w:rFonts w:asciiTheme="minorHAnsi" w:hAnsiTheme="minorHAnsi"/>
        </w:rPr>
      </w:pPr>
      <w:r w:rsidRPr="00F17D6E">
        <w:rPr>
          <w:rFonts w:asciiTheme="minorHAnsi" w:hAnsiTheme="minorHAnsi"/>
        </w:rPr>
        <w:t>To the extent that additional environmental users of groundwater are identified, they will be</w:t>
      </w:r>
      <w:r w:rsidR="009064EF">
        <w:rPr>
          <w:rFonts w:asciiTheme="minorHAnsi" w:hAnsiTheme="minorHAnsi"/>
        </w:rPr>
        <w:t xml:space="preserve"> considered and/or</w:t>
      </w:r>
      <w:r w:rsidRPr="00F17D6E">
        <w:rPr>
          <w:rFonts w:asciiTheme="minorHAnsi" w:hAnsiTheme="minorHAnsi"/>
        </w:rPr>
        <w:t xml:space="preserve"> engaged prior to and during the development and implementation of the GSP.</w:t>
      </w:r>
    </w:p>
    <w:p w14:paraId="65CE50D2" w14:textId="77777777" w:rsidR="0091718F" w:rsidRPr="00F17D6E" w:rsidRDefault="0091718F" w:rsidP="0091718F">
      <w:pPr>
        <w:numPr>
          <w:ilvl w:val="1"/>
          <w:numId w:val="17"/>
        </w:numPr>
        <w:rPr>
          <w:rFonts w:asciiTheme="minorHAnsi" w:hAnsiTheme="minorHAnsi"/>
        </w:rPr>
      </w:pPr>
    </w:p>
    <w:p w14:paraId="15E0F72E" w14:textId="782197DD" w:rsidR="003B5503" w:rsidRPr="00F17D6E" w:rsidRDefault="003B5503" w:rsidP="00957ECB">
      <w:pPr>
        <w:numPr>
          <w:ilvl w:val="0"/>
          <w:numId w:val="17"/>
        </w:numPr>
        <w:spacing w:after="120"/>
        <w:rPr>
          <w:rFonts w:asciiTheme="minorHAnsi" w:hAnsiTheme="minorHAnsi"/>
          <w:i/>
        </w:rPr>
      </w:pPr>
      <w:r w:rsidRPr="00F17D6E">
        <w:rPr>
          <w:rFonts w:asciiTheme="minorHAnsi" w:hAnsiTheme="minorHAnsi"/>
          <w:i/>
        </w:rPr>
        <w:t>Surface water users, if there is a hydrologic connection</w:t>
      </w:r>
      <w:r w:rsidR="00E8327E" w:rsidRPr="00F17D6E">
        <w:rPr>
          <w:rFonts w:asciiTheme="minorHAnsi" w:hAnsiTheme="minorHAnsi"/>
          <w:i/>
        </w:rPr>
        <w:t xml:space="preserve"> </w:t>
      </w:r>
      <w:r w:rsidRPr="00F17D6E">
        <w:rPr>
          <w:rFonts w:asciiTheme="minorHAnsi" w:hAnsiTheme="minorHAnsi"/>
          <w:i/>
        </w:rPr>
        <w:t>between</w:t>
      </w:r>
      <w:r w:rsidR="00797BEB" w:rsidRPr="00F17D6E">
        <w:rPr>
          <w:rFonts w:asciiTheme="minorHAnsi" w:hAnsiTheme="minorHAnsi"/>
          <w:i/>
        </w:rPr>
        <w:t xml:space="preserve"> surface and groundwater bodies</w:t>
      </w:r>
    </w:p>
    <w:p w14:paraId="138BDB0E" w14:textId="36B0532E" w:rsidR="00797BEB" w:rsidRPr="00F17D6E" w:rsidRDefault="00E37391" w:rsidP="0091718F">
      <w:pPr>
        <w:numPr>
          <w:ilvl w:val="1"/>
          <w:numId w:val="17"/>
        </w:numPr>
        <w:rPr>
          <w:rFonts w:asciiTheme="minorHAnsi" w:hAnsiTheme="minorHAnsi"/>
        </w:rPr>
      </w:pPr>
      <w:r w:rsidRPr="00F17D6E">
        <w:rPr>
          <w:rFonts w:asciiTheme="minorHAnsi" w:hAnsiTheme="minorHAnsi"/>
        </w:rPr>
        <w:t xml:space="preserve">Surface water features in the Subbasin </w:t>
      </w:r>
      <w:r w:rsidR="00797BEB" w:rsidRPr="00F17D6E">
        <w:rPr>
          <w:rFonts w:asciiTheme="minorHAnsi" w:hAnsiTheme="minorHAnsi"/>
        </w:rPr>
        <w:t>include</w:t>
      </w:r>
      <w:r w:rsidRPr="00F17D6E">
        <w:rPr>
          <w:rFonts w:asciiTheme="minorHAnsi" w:hAnsiTheme="minorHAnsi"/>
        </w:rPr>
        <w:t xml:space="preserve"> ephemeral</w:t>
      </w:r>
      <w:r w:rsidR="00797BEB" w:rsidRPr="00F17D6E">
        <w:rPr>
          <w:rFonts w:asciiTheme="minorHAnsi" w:hAnsiTheme="minorHAnsi"/>
        </w:rPr>
        <w:t xml:space="preserve"> </w:t>
      </w:r>
      <w:r w:rsidRPr="00F17D6E">
        <w:rPr>
          <w:rFonts w:asciiTheme="minorHAnsi" w:hAnsiTheme="minorHAnsi"/>
        </w:rPr>
        <w:t>streams draining the Tehachapi Mountains, the California Aqueduct, and a network of</w:t>
      </w:r>
      <w:r w:rsidR="00797BEB" w:rsidRPr="00F17D6E">
        <w:rPr>
          <w:rFonts w:asciiTheme="minorHAnsi" w:hAnsiTheme="minorHAnsi"/>
        </w:rPr>
        <w:t xml:space="preserve"> </w:t>
      </w:r>
      <w:r w:rsidRPr="00F17D6E">
        <w:rPr>
          <w:rFonts w:asciiTheme="minorHAnsi" w:hAnsiTheme="minorHAnsi"/>
        </w:rPr>
        <w:t>irrigation canals and ditches.</w:t>
      </w:r>
    </w:p>
    <w:p w14:paraId="5260C765" w14:textId="77777777" w:rsidR="0091718F" w:rsidRPr="00F17D6E" w:rsidRDefault="0091718F" w:rsidP="0091718F">
      <w:pPr>
        <w:numPr>
          <w:ilvl w:val="1"/>
          <w:numId w:val="17"/>
        </w:numPr>
        <w:rPr>
          <w:rFonts w:asciiTheme="minorHAnsi" w:hAnsiTheme="minorHAnsi"/>
        </w:rPr>
      </w:pPr>
    </w:p>
    <w:p w14:paraId="72774FBD" w14:textId="2FBB819A" w:rsidR="00E8327E" w:rsidRPr="00F17D6E" w:rsidRDefault="00E37391" w:rsidP="0091718F">
      <w:pPr>
        <w:numPr>
          <w:ilvl w:val="1"/>
          <w:numId w:val="17"/>
        </w:numPr>
        <w:rPr>
          <w:rFonts w:asciiTheme="minorHAnsi" w:hAnsiTheme="minorHAnsi"/>
        </w:rPr>
      </w:pPr>
      <w:r w:rsidRPr="00F17D6E">
        <w:rPr>
          <w:rFonts w:asciiTheme="minorHAnsi" w:hAnsiTheme="minorHAnsi"/>
        </w:rPr>
        <w:lastRenderedPageBreak/>
        <w:t xml:space="preserve">The </w:t>
      </w:r>
      <w:r w:rsidR="00023D7D" w:rsidRPr="00F17D6E">
        <w:rPr>
          <w:rFonts w:asciiTheme="minorHAnsi" w:hAnsiTheme="minorHAnsi"/>
        </w:rPr>
        <w:t>TRC</w:t>
      </w:r>
      <w:r w:rsidRPr="00F17D6E">
        <w:rPr>
          <w:rFonts w:asciiTheme="minorHAnsi" w:hAnsiTheme="minorHAnsi"/>
        </w:rPr>
        <w:t xml:space="preserve"> owns appropriative water rights to several of the</w:t>
      </w:r>
      <w:r w:rsidR="00797BEB" w:rsidRPr="00F17D6E">
        <w:rPr>
          <w:rFonts w:asciiTheme="minorHAnsi" w:hAnsiTheme="minorHAnsi"/>
        </w:rPr>
        <w:t xml:space="preserve"> ephemeral</w:t>
      </w:r>
      <w:r w:rsidRPr="00F17D6E">
        <w:rPr>
          <w:rFonts w:asciiTheme="minorHAnsi" w:hAnsiTheme="minorHAnsi"/>
        </w:rPr>
        <w:t xml:space="preserve"> tributaries</w:t>
      </w:r>
      <w:r w:rsidR="00610A2D" w:rsidRPr="00F17D6E">
        <w:rPr>
          <w:rFonts w:asciiTheme="minorHAnsi" w:hAnsiTheme="minorHAnsi"/>
        </w:rPr>
        <w:t xml:space="preserve"> to the Subbasin. As a landowner in the Subbasin, t</w:t>
      </w:r>
      <w:r w:rsidR="00797BEB" w:rsidRPr="00F17D6E">
        <w:rPr>
          <w:rFonts w:asciiTheme="minorHAnsi" w:hAnsiTheme="minorHAnsi"/>
        </w:rPr>
        <w:t xml:space="preserve">he </w:t>
      </w:r>
      <w:r w:rsidR="00023D7D" w:rsidRPr="00F17D6E">
        <w:rPr>
          <w:rFonts w:asciiTheme="minorHAnsi" w:hAnsiTheme="minorHAnsi"/>
        </w:rPr>
        <w:t>TRC</w:t>
      </w:r>
      <w:r w:rsidR="00797BEB" w:rsidRPr="00F17D6E">
        <w:rPr>
          <w:rFonts w:asciiTheme="minorHAnsi" w:hAnsiTheme="minorHAnsi"/>
        </w:rPr>
        <w:t xml:space="preserve"> will be </w:t>
      </w:r>
      <w:r w:rsidR="00610A2D" w:rsidRPr="00F17D6E">
        <w:rPr>
          <w:rFonts w:asciiTheme="minorHAnsi" w:hAnsiTheme="minorHAnsi"/>
        </w:rPr>
        <w:t>will be engaged prior to and during the development and implementation of the GSP</w:t>
      </w:r>
      <w:r w:rsidR="00797BEB" w:rsidRPr="00F17D6E">
        <w:rPr>
          <w:rFonts w:asciiTheme="minorHAnsi" w:hAnsiTheme="minorHAnsi"/>
        </w:rPr>
        <w:t>.</w:t>
      </w:r>
    </w:p>
    <w:p w14:paraId="3C603868" w14:textId="77777777" w:rsidR="0091718F" w:rsidRPr="00F17D6E" w:rsidRDefault="0091718F" w:rsidP="0091718F">
      <w:pPr>
        <w:numPr>
          <w:ilvl w:val="1"/>
          <w:numId w:val="17"/>
        </w:numPr>
        <w:rPr>
          <w:rFonts w:asciiTheme="minorHAnsi" w:hAnsiTheme="minorHAnsi"/>
        </w:rPr>
      </w:pPr>
    </w:p>
    <w:p w14:paraId="663AF00E" w14:textId="192F592E" w:rsidR="003B5503" w:rsidRPr="00F17D6E" w:rsidRDefault="003B5503" w:rsidP="00957ECB">
      <w:pPr>
        <w:numPr>
          <w:ilvl w:val="0"/>
          <w:numId w:val="17"/>
        </w:numPr>
        <w:spacing w:after="120"/>
        <w:rPr>
          <w:rFonts w:asciiTheme="minorHAnsi" w:hAnsiTheme="minorHAnsi"/>
          <w:i/>
        </w:rPr>
      </w:pPr>
      <w:r w:rsidRPr="00F17D6E">
        <w:rPr>
          <w:rFonts w:asciiTheme="minorHAnsi" w:hAnsiTheme="minorHAnsi"/>
          <w:i/>
        </w:rPr>
        <w:t>The federal government, including, but not limited to, the</w:t>
      </w:r>
      <w:r w:rsidR="00E8327E" w:rsidRPr="00F17D6E">
        <w:rPr>
          <w:rFonts w:asciiTheme="minorHAnsi" w:hAnsiTheme="minorHAnsi"/>
          <w:i/>
        </w:rPr>
        <w:t xml:space="preserve"> </w:t>
      </w:r>
      <w:r w:rsidRPr="00F17D6E">
        <w:rPr>
          <w:rFonts w:asciiTheme="minorHAnsi" w:hAnsiTheme="minorHAnsi"/>
          <w:i/>
        </w:rPr>
        <w:t xml:space="preserve">military and managers of federal </w:t>
      </w:r>
      <w:r w:rsidR="00797BEB" w:rsidRPr="00F17D6E">
        <w:rPr>
          <w:rFonts w:asciiTheme="minorHAnsi" w:hAnsiTheme="minorHAnsi"/>
          <w:i/>
        </w:rPr>
        <w:t>lands</w:t>
      </w:r>
    </w:p>
    <w:p w14:paraId="7E184696" w14:textId="0E397147" w:rsidR="00E8327E" w:rsidRPr="00F17D6E" w:rsidRDefault="00797BEB" w:rsidP="0091718F">
      <w:pPr>
        <w:numPr>
          <w:ilvl w:val="1"/>
          <w:numId w:val="17"/>
        </w:numPr>
        <w:rPr>
          <w:rFonts w:asciiTheme="minorHAnsi" w:hAnsiTheme="minorHAnsi"/>
        </w:rPr>
      </w:pPr>
      <w:r w:rsidRPr="00F17D6E">
        <w:rPr>
          <w:rFonts w:asciiTheme="minorHAnsi" w:hAnsiTheme="minorHAnsi"/>
        </w:rPr>
        <w:t>There are no identified federal lands within the Subbasin.</w:t>
      </w:r>
    </w:p>
    <w:p w14:paraId="7398FC03" w14:textId="77777777" w:rsidR="0091718F" w:rsidRPr="00F17D6E" w:rsidRDefault="0091718F" w:rsidP="0091718F">
      <w:pPr>
        <w:numPr>
          <w:ilvl w:val="1"/>
          <w:numId w:val="17"/>
        </w:numPr>
        <w:rPr>
          <w:rFonts w:asciiTheme="minorHAnsi" w:hAnsiTheme="minorHAnsi"/>
        </w:rPr>
      </w:pPr>
    </w:p>
    <w:p w14:paraId="0458F237" w14:textId="7D5068D6" w:rsidR="003B5503" w:rsidRPr="00F17D6E" w:rsidRDefault="003B5503" w:rsidP="00957ECB">
      <w:pPr>
        <w:numPr>
          <w:ilvl w:val="0"/>
          <w:numId w:val="17"/>
        </w:numPr>
        <w:spacing w:after="120"/>
        <w:rPr>
          <w:rFonts w:asciiTheme="minorHAnsi" w:hAnsiTheme="minorHAnsi"/>
          <w:i/>
        </w:rPr>
      </w:pPr>
      <w:r w:rsidRPr="00F17D6E">
        <w:rPr>
          <w:rFonts w:asciiTheme="minorHAnsi" w:hAnsiTheme="minorHAnsi"/>
          <w:i/>
        </w:rPr>
        <w:t>Ca</w:t>
      </w:r>
      <w:r w:rsidR="00797BEB" w:rsidRPr="00F17D6E">
        <w:rPr>
          <w:rFonts w:asciiTheme="minorHAnsi" w:hAnsiTheme="minorHAnsi"/>
          <w:i/>
        </w:rPr>
        <w:t>lifornia Native American tribes</w:t>
      </w:r>
    </w:p>
    <w:p w14:paraId="4A7E6E32" w14:textId="4EF75B4A" w:rsidR="00797BEB" w:rsidRPr="00F17D6E" w:rsidRDefault="00797BEB" w:rsidP="0091718F">
      <w:pPr>
        <w:numPr>
          <w:ilvl w:val="1"/>
          <w:numId w:val="17"/>
        </w:numPr>
        <w:rPr>
          <w:rFonts w:asciiTheme="minorHAnsi" w:hAnsiTheme="minorHAnsi"/>
        </w:rPr>
      </w:pPr>
      <w:r w:rsidRPr="00F17D6E">
        <w:rPr>
          <w:rFonts w:asciiTheme="minorHAnsi" w:hAnsiTheme="minorHAnsi"/>
        </w:rPr>
        <w:t>There are no identified California Native American tribal lands within the Subbasin.</w:t>
      </w:r>
    </w:p>
    <w:p w14:paraId="4F09021A" w14:textId="77777777" w:rsidR="0091718F" w:rsidRPr="00F17D6E" w:rsidRDefault="0091718F" w:rsidP="0091718F">
      <w:pPr>
        <w:numPr>
          <w:ilvl w:val="1"/>
          <w:numId w:val="17"/>
        </w:numPr>
        <w:rPr>
          <w:rFonts w:asciiTheme="minorHAnsi" w:hAnsiTheme="minorHAnsi"/>
        </w:rPr>
      </w:pPr>
    </w:p>
    <w:p w14:paraId="2F30F27D" w14:textId="03E60BE7" w:rsidR="003B5503" w:rsidRPr="00F17D6E" w:rsidRDefault="003B5503" w:rsidP="00957ECB">
      <w:pPr>
        <w:numPr>
          <w:ilvl w:val="0"/>
          <w:numId w:val="17"/>
        </w:numPr>
        <w:spacing w:after="120"/>
        <w:rPr>
          <w:rFonts w:asciiTheme="minorHAnsi" w:hAnsiTheme="minorHAnsi"/>
          <w:i/>
        </w:rPr>
      </w:pPr>
      <w:r w:rsidRPr="00F17D6E">
        <w:rPr>
          <w:rFonts w:asciiTheme="minorHAnsi" w:hAnsiTheme="minorHAnsi"/>
          <w:i/>
        </w:rPr>
        <w:t>Disadvantaged communities, including, but not limited to,</w:t>
      </w:r>
      <w:r w:rsidR="00E8327E" w:rsidRPr="00F17D6E">
        <w:rPr>
          <w:rFonts w:asciiTheme="minorHAnsi" w:hAnsiTheme="minorHAnsi"/>
          <w:i/>
        </w:rPr>
        <w:t xml:space="preserve"> </w:t>
      </w:r>
      <w:r w:rsidRPr="00F17D6E">
        <w:rPr>
          <w:rFonts w:asciiTheme="minorHAnsi" w:hAnsiTheme="minorHAnsi"/>
          <w:i/>
        </w:rPr>
        <w:t>those served by private domestic wells or small community water</w:t>
      </w:r>
      <w:r w:rsidR="00E8327E" w:rsidRPr="00F17D6E">
        <w:rPr>
          <w:rFonts w:asciiTheme="minorHAnsi" w:hAnsiTheme="minorHAnsi"/>
          <w:i/>
        </w:rPr>
        <w:t xml:space="preserve"> </w:t>
      </w:r>
      <w:r w:rsidR="00797BEB" w:rsidRPr="00F17D6E">
        <w:rPr>
          <w:rFonts w:asciiTheme="minorHAnsi" w:hAnsiTheme="minorHAnsi"/>
          <w:i/>
        </w:rPr>
        <w:t>systems</w:t>
      </w:r>
    </w:p>
    <w:p w14:paraId="03D3749D" w14:textId="49E48B5C" w:rsidR="00E8327E" w:rsidRPr="00F17D6E" w:rsidRDefault="00564F9B" w:rsidP="00E60E30">
      <w:pPr>
        <w:numPr>
          <w:ilvl w:val="1"/>
          <w:numId w:val="17"/>
        </w:numPr>
        <w:rPr>
          <w:rFonts w:asciiTheme="minorHAnsi" w:hAnsiTheme="minorHAnsi"/>
        </w:rPr>
      </w:pPr>
      <w:r w:rsidRPr="00F17D6E">
        <w:rPr>
          <w:rFonts w:asciiTheme="minorHAnsi" w:hAnsiTheme="minorHAnsi"/>
        </w:rPr>
        <w:t>A</w:t>
      </w:r>
      <w:r w:rsidR="00957ECB" w:rsidRPr="00F17D6E">
        <w:rPr>
          <w:rFonts w:asciiTheme="minorHAnsi" w:hAnsiTheme="minorHAnsi"/>
        </w:rPr>
        <w:t xml:space="preserve"> portion of </w:t>
      </w:r>
      <w:r w:rsidR="000E0E64" w:rsidRPr="00F17D6E">
        <w:rPr>
          <w:rFonts w:asciiTheme="minorHAnsi" w:hAnsiTheme="minorHAnsi"/>
        </w:rPr>
        <w:t>US Census Tract 62.02, which</w:t>
      </w:r>
      <w:r w:rsidR="00E8327E" w:rsidRPr="00F17D6E">
        <w:rPr>
          <w:rFonts w:asciiTheme="minorHAnsi" w:hAnsiTheme="minorHAnsi"/>
        </w:rPr>
        <w:t xml:space="preserve"> overlies an area of the n</w:t>
      </w:r>
      <w:r w:rsidR="000E0E64" w:rsidRPr="00F17D6E">
        <w:rPr>
          <w:rFonts w:asciiTheme="minorHAnsi" w:hAnsiTheme="minorHAnsi"/>
        </w:rPr>
        <w:t>orthern portion of the Subbasin</w:t>
      </w:r>
      <w:r w:rsidR="00E8327E" w:rsidRPr="00F17D6E">
        <w:rPr>
          <w:rFonts w:asciiTheme="minorHAnsi" w:hAnsiTheme="minorHAnsi"/>
        </w:rPr>
        <w:t xml:space="preserve"> along Interstate 5</w:t>
      </w:r>
      <w:r w:rsidR="000E0E64" w:rsidRPr="00F17D6E">
        <w:rPr>
          <w:rFonts w:asciiTheme="minorHAnsi" w:hAnsiTheme="minorHAnsi"/>
        </w:rPr>
        <w:t xml:space="preserve">, was identified as a </w:t>
      </w:r>
      <w:r w:rsidR="009064EF">
        <w:rPr>
          <w:rFonts w:asciiTheme="minorHAnsi" w:hAnsiTheme="minorHAnsi"/>
        </w:rPr>
        <w:t>D</w:t>
      </w:r>
      <w:r w:rsidR="000E0E64" w:rsidRPr="00F17D6E">
        <w:rPr>
          <w:rFonts w:asciiTheme="minorHAnsi" w:hAnsiTheme="minorHAnsi"/>
        </w:rPr>
        <w:t xml:space="preserve">isadvantaged </w:t>
      </w:r>
      <w:r w:rsidR="009064EF">
        <w:rPr>
          <w:rFonts w:asciiTheme="minorHAnsi" w:hAnsiTheme="minorHAnsi"/>
        </w:rPr>
        <w:t>C</w:t>
      </w:r>
      <w:r w:rsidR="000E0E64" w:rsidRPr="00F17D6E">
        <w:rPr>
          <w:rFonts w:asciiTheme="minorHAnsi" w:hAnsiTheme="minorHAnsi"/>
        </w:rPr>
        <w:t>ommunity</w:t>
      </w:r>
      <w:r w:rsidR="00592EF6" w:rsidRPr="00F17D6E">
        <w:rPr>
          <w:rFonts w:asciiTheme="minorHAnsi" w:hAnsiTheme="minorHAnsi"/>
        </w:rPr>
        <w:t xml:space="preserve"> </w:t>
      </w:r>
      <w:r w:rsidR="009064EF">
        <w:rPr>
          <w:rFonts w:asciiTheme="minorHAnsi" w:hAnsiTheme="minorHAnsi"/>
        </w:rPr>
        <w:t>T</w:t>
      </w:r>
      <w:r w:rsidR="00592EF6" w:rsidRPr="00F17D6E">
        <w:rPr>
          <w:rFonts w:asciiTheme="minorHAnsi" w:hAnsiTheme="minorHAnsi"/>
        </w:rPr>
        <w:t>ract</w:t>
      </w:r>
      <w:r w:rsidR="000E0E64" w:rsidRPr="00F17D6E">
        <w:rPr>
          <w:rFonts w:asciiTheme="minorHAnsi" w:hAnsiTheme="minorHAnsi"/>
        </w:rPr>
        <w:t xml:space="preserve"> based on an average household income le</w:t>
      </w:r>
      <w:r w:rsidR="00CD5AA4" w:rsidRPr="00F17D6E">
        <w:rPr>
          <w:rFonts w:asciiTheme="minorHAnsi" w:hAnsiTheme="minorHAnsi"/>
        </w:rPr>
        <w:t>ss than 80% of the State median</w:t>
      </w:r>
      <w:r w:rsidR="00BD5629" w:rsidRPr="00F17D6E">
        <w:rPr>
          <w:rFonts w:asciiTheme="minorHAnsi" w:hAnsiTheme="minorHAnsi"/>
        </w:rPr>
        <w:t>.</w:t>
      </w:r>
      <w:r w:rsidR="000E0E64" w:rsidRPr="00F17D6E">
        <w:rPr>
          <w:rStyle w:val="FootnoteReference"/>
          <w:rFonts w:asciiTheme="minorHAnsi" w:hAnsiTheme="minorHAnsi"/>
        </w:rPr>
        <w:footnoteReference w:id="5"/>
      </w:r>
      <w:r w:rsidR="00CD5AA4" w:rsidRPr="00F17D6E">
        <w:rPr>
          <w:rFonts w:asciiTheme="minorHAnsi" w:hAnsiTheme="minorHAnsi"/>
        </w:rPr>
        <w:t xml:space="preserve"> </w:t>
      </w:r>
      <w:r w:rsidR="00E60E30" w:rsidRPr="00F17D6E">
        <w:rPr>
          <w:rFonts w:asciiTheme="minorHAnsi" w:hAnsiTheme="minorHAnsi"/>
        </w:rPr>
        <w:t xml:space="preserve">There were no </w:t>
      </w:r>
      <w:r w:rsidR="009064EF">
        <w:rPr>
          <w:rFonts w:asciiTheme="minorHAnsi" w:hAnsiTheme="minorHAnsi"/>
        </w:rPr>
        <w:t>D</w:t>
      </w:r>
      <w:r w:rsidR="00E60E30" w:rsidRPr="00F17D6E">
        <w:rPr>
          <w:rFonts w:asciiTheme="minorHAnsi" w:hAnsiTheme="minorHAnsi"/>
        </w:rPr>
        <w:t xml:space="preserve">isadvantaged </w:t>
      </w:r>
      <w:r w:rsidR="009064EF">
        <w:rPr>
          <w:rFonts w:asciiTheme="minorHAnsi" w:hAnsiTheme="minorHAnsi"/>
        </w:rPr>
        <w:t>C</w:t>
      </w:r>
      <w:r w:rsidR="00E60E30" w:rsidRPr="00F17D6E">
        <w:rPr>
          <w:rFonts w:asciiTheme="minorHAnsi" w:hAnsiTheme="minorHAnsi"/>
        </w:rPr>
        <w:t xml:space="preserve">ommunity </w:t>
      </w:r>
      <w:r w:rsidR="009064EF">
        <w:rPr>
          <w:rFonts w:asciiTheme="minorHAnsi" w:hAnsiTheme="minorHAnsi"/>
        </w:rPr>
        <w:t>P</w:t>
      </w:r>
      <w:r w:rsidR="00E60E30" w:rsidRPr="00F17D6E">
        <w:rPr>
          <w:rFonts w:asciiTheme="minorHAnsi" w:hAnsiTheme="minorHAnsi"/>
        </w:rPr>
        <w:t xml:space="preserve">laces </w:t>
      </w:r>
      <w:r w:rsidR="007129F2">
        <w:rPr>
          <w:rFonts w:asciiTheme="minorHAnsi" w:hAnsiTheme="minorHAnsi"/>
        </w:rPr>
        <w:t>identified within the Subbasin.</w:t>
      </w:r>
      <w:r w:rsidR="0041775C">
        <w:rPr>
          <w:rStyle w:val="FootnoteReference"/>
          <w:rFonts w:asciiTheme="minorHAnsi" w:hAnsiTheme="minorHAnsi"/>
        </w:rPr>
        <w:footnoteReference w:id="6"/>
      </w:r>
      <w:r w:rsidR="007129F2">
        <w:rPr>
          <w:rFonts w:asciiTheme="minorHAnsi" w:hAnsiTheme="minorHAnsi"/>
        </w:rPr>
        <w:t xml:space="preserve"> </w:t>
      </w:r>
      <w:r w:rsidRPr="00F17D6E">
        <w:rPr>
          <w:rFonts w:asciiTheme="minorHAnsi" w:hAnsiTheme="minorHAnsi"/>
        </w:rPr>
        <w:t xml:space="preserve">The </w:t>
      </w:r>
      <w:r w:rsidR="0091718F" w:rsidRPr="00F17D6E">
        <w:rPr>
          <w:rFonts w:asciiTheme="minorHAnsi" w:hAnsiTheme="minorHAnsi"/>
        </w:rPr>
        <w:t xml:space="preserve">White Wolf </w:t>
      </w:r>
      <w:r w:rsidRPr="00F17D6E">
        <w:rPr>
          <w:rFonts w:asciiTheme="minorHAnsi" w:hAnsiTheme="minorHAnsi"/>
        </w:rPr>
        <w:t xml:space="preserve">GSA’s public outreach process will specifically seek to engage any identified disadvantaged communities prior to and during the development and implementation of the GSP. </w:t>
      </w:r>
    </w:p>
    <w:p w14:paraId="0D3B70BA" w14:textId="77777777" w:rsidR="0091718F" w:rsidRPr="00F17D6E" w:rsidRDefault="0091718F" w:rsidP="0091718F">
      <w:pPr>
        <w:numPr>
          <w:ilvl w:val="1"/>
          <w:numId w:val="17"/>
        </w:numPr>
        <w:rPr>
          <w:rFonts w:asciiTheme="minorHAnsi" w:hAnsiTheme="minorHAnsi"/>
        </w:rPr>
      </w:pPr>
    </w:p>
    <w:p w14:paraId="622D5E49" w14:textId="3962EB07" w:rsidR="003B5503" w:rsidRPr="00F17D6E" w:rsidRDefault="003B5503" w:rsidP="00957ECB">
      <w:pPr>
        <w:numPr>
          <w:ilvl w:val="0"/>
          <w:numId w:val="17"/>
        </w:numPr>
        <w:spacing w:after="120"/>
        <w:rPr>
          <w:rFonts w:asciiTheme="minorHAnsi" w:hAnsiTheme="minorHAnsi"/>
          <w:i/>
        </w:rPr>
      </w:pPr>
      <w:r w:rsidRPr="00F17D6E">
        <w:rPr>
          <w:rFonts w:asciiTheme="minorHAnsi" w:hAnsiTheme="minorHAnsi"/>
          <w:i/>
        </w:rPr>
        <w:t xml:space="preserve">Entities listed in </w:t>
      </w:r>
      <w:r w:rsidR="00797BEB" w:rsidRPr="00F17D6E">
        <w:rPr>
          <w:rFonts w:asciiTheme="minorHAnsi" w:hAnsiTheme="minorHAnsi"/>
          <w:i/>
        </w:rPr>
        <w:t>CWC §</w:t>
      </w:r>
      <w:r w:rsidRPr="00F17D6E">
        <w:rPr>
          <w:rFonts w:asciiTheme="minorHAnsi" w:hAnsiTheme="minorHAnsi"/>
          <w:i/>
        </w:rPr>
        <w:t>10927 that are monitoring and</w:t>
      </w:r>
      <w:r w:rsidR="00E8327E" w:rsidRPr="00F17D6E">
        <w:rPr>
          <w:rFonts w:asciiTheme="minorHAnsi" w:hAnsiTheme="minorHAnsi"/>
          <w:i/>
        </w:rPr>
        <w:t xml:space="preserve"> </w:t>
      </w:r>
      <w:r w:rsidRPr="00F17D6E">
        <w:rPr>
          <w:rFonts w:asciiTheme="minorHAnsi" w:hAnsiTheme="minorHAnsi"/>
          <w:i/>
        </w:rPr>
        <w:t>reporting groundwater elevations in all or a part of a groundwater</w:t>
      </w:r>
      <w:r w:rsidR="00E8327E" w:rsidRPr="00F17D6E">
        <w:rPr>
          <w:rFonts w:asciiTheme="minorHAnsi" w:hAnsiTheme="minorHAnsi"/>
          <w:i/>
        </w:rPr>
        <w:t xml:space="preserve"> </w:t>
      </w:r>
      <w:r w:rsidRPr="00F17D6E">
        <w:rPr>
          <w:rFonts w:asciiTheme="minorHAnsi" w:hAnsiTheme="minorHAnsi"/>
          <w:i/>
        </w:rPr>
        <w:t>basin managed by the gr</w:t>
      </w:r>
      <w:r w:rsidR="00797BEB" w:rsidRPr="00F17D6E">
        <w:rPr>
          <w:rFonts w:asciiTheme="minorHAnsi" w:hAnsiTheme="minorHAnsi"/>
          <w:i/>
        </w:rPr>
        <w:t>oundwater sustainability agency</w:t>
      </w:r>
    </w:p>
    <w:p w14:paraId="557AC660" w14:textId="64CEADD6" w:rsidR="009E4E3F" w:rsidRPr="00F17D6E" w:rsidRDefault="007B1C22" w:rsidP="009E4E3F">
      <w:pPr>
        <w:numPr>
          <w:ilvl w:val="1"/>
          <w:numId w:val="17"/>
        </w:numPr>
        <w:rPr>
          <w:rFonts w:asciiTheme="minorHAnsi" w:hAnsiTheme="minorHAnsi"/>
        </w:rPr>
      </w:pPr>
      <w:r>
        <w:rPr>
          <w:rFonts w:asciiTheme="minorHAnsi" w:hAnsiTheme="minorHAnsi"/>
        </w:rPr>
        <w:t xml:space="preserve">Although WRMWSD conducts a groundwater monitoring program in the Subbasin, </w:t>
      </w:r>
      <w:r w:rsidR="00797BEB" w:rsidRPr="00F17D6E">
        <w:rPr>
          <w:rFonts w:asciiTheme="minorHAnsi" w:hAnsiTheme="minorHAnsi"/>
        </w:rPr>
        <w:t>AEWSD is the only Monitoring Entity in the Subbasin under the California Statewide Elevation Monitoring (CASGEM) Program.</w:t>
      </w:r>
      <w:r w:rsidR="009E4E3F" w:rsidRPr="00F17D6E">
        <w:rPr>
          <w:rFonts w:asciiTheme="minorHAnsi" w:hAnsiTheme="minorHAnsi"/>
        </w:rPr>
        <w:t xml:space="preserve"> AEWSD will be actively involved in the development and implementation of the GSP through its participation in the White Wolf GSA.</w:t>
      </w:r>
    </w:p>
    <w:p w14:paraId="0186F9A7" w14:textId="42E139FF" w:rsidR="00E94B27" w:rsidRPr="00F17D6E" w:rsidRDefault="00E94B27" w:rsidP="0091718F">
      <w:pPr>
        <w:numPr>
          <w:ilvl w:val="1"/>
          <w:numId w:val="17"/>
        </w:numPr>
        <w:rPr>
          <w:rFonts w:asciiTheme="minorHAnsi" w:hAnsiTheme="minorHAnsi"/>
        </w:rPr>
      </w:pPr>
    </w:p>
    <w:p w14:paraId="32243B0F" w14:textId="77777777" w:rsidR="008F35D8" w:rsidRPr="00F17D6E" w:rsidRDefault="003C00FD">
      <w:pPr>
        <w:rPr>
          <w:rFonts w:asciiTheme="minorHAnsi" w:hAnsiTheme="minorHAnsi"/>
        </w:rPr>
      </w:pPr>
    </w:p>
    <w:sectPr w:rsidR="008F35D8" w:rsidRPr="00F17D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EDB5F" w14:textId="77777777" w:rsidR="007662D5" w:rsidRDefault="007662D5" w:rsidP="000E0E64">
      <w:r>
        <w:separator/>
      </w:r>
    </w:p>
  </w:endnote>
  <w:endnote w:type="continuationSeparator" w:id="0">
    <w:p w14:paraId="35970016" w14:textId="77777777" w:rsidR="007662D5" w:rsidRDefault="007662D5" w:rsidP="000E0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AC741" w14:textId="77777777" w:rsidR="007662D5" w:rsidRDefault="007662D5" w:rsidP="000E0E64">
      <w:r>
        <w:separator/>
      </w:r>
    </w:p>
  </w:footnote>
  <w:footnote w:type="continuationSeparator" w:id="0">
    <w:p w14:paraId="6F6C15D4" w14:textId="77777777" w:rsidR="007662D5" w:rsidRDefault="007662D5" w:rsidP="000E0E64">
      <w:r>
        <w:continuationSeparator/>
      </w:r>
    </w:p>
  </w:footnote>
  <w:footnote w:id="1">
    <w:p w14:paraId="4A0D331D" w14:textId="31E274B8" w:rsidR="00824C00" w:rsidRDefault="00824C00" w:rsidP="00824C00">
      <w:pPr>
        <w:pStyle w:val="FootnoteText"/>
      </w:pPr>
      <w:r>
        <w:rPr>
          <w:rStyle w:val="FootnoteReference"/>
        </w:rPr>
        <w:footnoteRef/>
      </w:r>
      <w:r>
        <w:t xml:space="preserve"> </w:t>
      </w:r>
      <w:r w:rsidRPr="00824C00">
        <w:t xml:space="preserve"> </w:t>
      </w:r>
      <w:r>
        <w:t>Kern County Department of Agriculture and Measurement Standards, 2013.</w:t>
      </w:r>
    </w:p>
  </w:footnote>
  <w:footnote w:id="2">
    <w:p w14:paraId="1C7C8C92" w14:textId="79DABA16" w:rsidR="00023D7D" w:rsidRDefault="00023D7D">
      <w:pPr>
        <w:pStyle w:val="FootnoteText"/>
      </w:pPr>
      <w:r>
        <w:rPr>
          <w:rStyle w:val="FootnoteReference"/>
        </w:rPr>
        <w:footnoteRef/>
      </w:r>
      <w:r>
        <w:t xml:space="preserve"> </w:t>
      </w:r>
      <w:r w:rsidRPr="00023D7D">
        <w:t>TCCWD letter to TCWD, 4 April 2016</w:t>
      </w:r>
    </w:p>
  </w:footnote>
  <w:footnote w:id="3">
    <w:p w14:paraId="46C3B39A" w14:textId="71E0FD91" w:rsidR="00023D7D" w:rsidRDefault="00023D7D">
      <w:pPr>
        <w:pStyle w:val="FootnoteText"/>
      </w:pPr>
      <w:r>
        <w:rPr>
          <w:rStyle w:val="FootnoteReference"/>
        </w:rPr>
        <w:footnoteRef/>
      </w:r>
      <w:r>
        <w:t xml:space="preserve"> California Department of Water Resources, Groundwater Information Center, Spring 2016 Depth to Water Point Data, accessed 27 July 2016.</w:t>
      </w:r>
    </w:p>
  </w:footnote>
  <w:footnote w:id="4">
    <w:p w14:paraId="465A45B0" w14:textId="5F5A1A12" w:rsidR="00023D7D" w:rsidRDefault="00023D7D">
      <w:pPr>
        <w:pStyle w:val="FootnoteText"/>
      </w:pPr>
      <w:r>
        <w:rPr>
          <w:rStyle w:val="FootnoteReference"/>
        </w:rPr>
        <w:footnoteRef/>
      </w:r>
      <w:r>
        <w:t xml:space="preserve"> </w:t>
      </w:r>
      <w:proofErr w:type="spellStart"/>
      <w:r>
        <w:t>Erler</w:t>
      </w:r>
      <w:proofErr w:type="spellEnd"/>
      <w:r>
        <w:t xml:space="preserve"> &amp; </w:t>
      </w:r>
      <w:proofErr w:type="spellStart"/>
      <w:r>
        <w:t>Kal</w:t>
      </w:r>
      <w:r w:rsidR="00866ADC">
        <w:t>inowski</w:t>
      </w:r>
      <w:proofErr w:type="spellEnd"/>
      <w:r w:rsidR="00866ADC">
        <w:t>, Inc., White Wolf Subba</w:t>
      </w:r>
      <w:r>
        <w:t xml:space="preserve">sin Technical Report, 16 March 2016. </w:t>
      </w:r>
    </w:p>
  </w:footnote>
  <w:footnote w:id="5">
    <w:p w14:paraId="544D81E6" w14:textId="09319EDF" w:rsidR="000E0E64" w:rsidRDefault="000E0E64">
      <w:pPr>
        <w:pStyle w:val="FootnoteText"/>
      </w:pPr>
      <w:r>
        <w:rPr>
          <w:rStyle w:val="FootnoteReference"/>
        </w:rPr>
        <w:footnoteRef/>
      </w:r>
      <w:r>
        <w:t xml:space="preserve"> </w:t>
      </w:r>
      <w:r w:rsidRPr="000E0E64">
        <w:t>US Census A</w:t>
      </w:r>
      <w:r>
        <w:t>merican Community Survey,</w:t>
      </w:r>
      <w:r w:rsidRPr="000E0E64">
        <w:t xml:space="preserve"> 20</w:t>
      </w:r>
      <w:r w:rsidR="00984E14">
        <w:t>10</w:t>
      </w:r>
      <w:r w:rsidRPr="000E0E64">
        <w:t>-201</w:t>
      </w:r>
      <w:r w:rsidR="00984E14">
        <w:t>4</w:t>
      </w:r>
      <w:r w:rsidRPr="000E0E64">
        <w:t>.</w:t>
      </w:r>
    </w:p>
  </w:footnote>
  <w:footnote w:id="6">
    <w:p w14:paraId="67273CFF" w14:textId="099A4880" w:rsidR="0041775C" w:rsidRDefault="0041775C">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16ABF"/>
    <w:multiLevelType w:val="multilevel"/>
    <w:tmpl w:val="6C0A43B4"/>
    <w:lvl w:ilvl="0">
      <w:start w:val="1"/>
      <w:numFmt w:val="decimal"/>
      <w:lvlText w:val="%1.0"/>
      <w:lvlJc w:val="left"/>
      <w:pPr>
        <w:ind w:left="1080" w:hanging="108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59C258C"/>
    <w:multiLevelType w:val="multilevel"/>
    <w:tmpl w:val="00843922"/>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none"/>
      <w:lvlText w:val=""/>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9607F0"/>
    <w:multiLevelType w:val="multilevel"/>
    <w:tmpl w:val="50BEE2F6"/>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AFB2329"/>
    <w:multiLevelType w:val="hybridMultilevel"/>
    <w:tmpl w:val="AFDC2D4E"/>
    <w:lvl w:ilvl="0" w:tplc="17FCA64E">
      <w:start w:val="1"/>
      <w:numFmt w:val="lowerLetter"/>
      <w:lvlText w:val="(%1)"/>
      <w:lvlJc w:val="left"/>
      <w:pPr>
        <w:ind w:left="588" w:hanging="372"/>
      </w:pPr>
      <w:rPr>
        <w:rFonts w:hint="default"/>
      </w:rPr>
    </w:lvl>
    <w:lvl w:ilvl="1" w:tplc="8CFE74B2">
      <w:start w:val="1"/>
      <w:numFmt w:val="decimal"/>
      <w:lvlText w:val="(%2)"/>
      <w:lvlJc w:val="left"/>
      <w:pPr>
        <w:ind w:left="1308" w:hanging="372"/>
      </w:pPr>
      <w:rPr>
        <w:rFonts w:hint="default"/>
      </w:r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4" w15:restartNumberingAfterBreak="0">
    <w:nsid w:val="453D6A53"/>
    <w:multiLevelType w:val="multilevel"/>
    <w:tmpl w:val="C2861656"/>
    <w:lvl w:ilvl="0">
      <w:start w:val="1"/>
      <w:numFmt w:val="decimal"/>
      <w:pStyle w:val="Heading1"/>
      <w:lvlText w:val="%1."/>
      <w:lvlJc w:val="left"/>
      <w:pPr>
        <w:tabs>
          <w:tab w:val="num" w:pos="720"/>
        </w:tabs>
        <w:ind w:left="720" w:hanging="72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lvlRestart w:val="0"/>
      <w:pStyle w:val="Heading3"/>
      <w:lvlText w:val="%1.%2.%3"/>
      <w:lvlJc w:val="left"/>
      <w:pPr>
        <w:tabs>
          <w:tab w:val="num" w:pos="720"/>
        </w:tabs>
        <w:ind w:left="720" w:hanging="720"/>
      </w:pPr>
      <w:rPr>
        <w:rFonts w:hint="default"/>
      </w:rPr>
    </w:lvl>
    <w:lvl w:ilvl="3">
      <w:start w:val="1"/>
      <w:numFmt w:val="decimal"/>
      <w:pStyle w:val="Heading4"/>
      <w:lvlText w:val="%1.%2.%3.%4 "/>
      <w:lvlJc w:val="left"/>
      <w:pPr>
        <w:tabs>
          <w:tab w:val="num" w:pos="2340"/>
        </w:tabs>
        <w:ind w:left="2268" w:hanging="648"/>
      </w:pPr>
      <w:rPr>
        <w:rFonts w:hint="default"/>
        <w:b w:val="0"/>
        <w:i w:val="0"/>
        <w:sz w:val="24"/>
        <w:szCs w:val="24"/>
        <w:u w:val="single"/>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4658562B"/>
    <w:multiLevelType w:val="hybridMultilevel"/>
    <w:tmpl w:val="E6389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AF5892"/>
    <w:multiLevelType w:val="hybridMultilevel"/>
    <w:tmpl w:val="26AAAB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728E04F6"/>
    <w:multiLevelType w:val="multilevel"/>
    <w:tmpl w:val="15BC268A"/>
    <w:lvl w:ilvl="0">
      <w:start w:val="2"/>
      <w:numFmt w:val="lowerLetter"/>
      <w:lvlText w:val="(%1)"/>
      <w:lvlJc w:val="left"/>
      <w:pPr>
        <w:ind w:left="720" w:hanging="360"/>
      </w:pPr>
      <w:rPr>
        <w:rFonts w:hint="default"/>
      </w:rPr>
    </w:lvl>
    <w:lvl w:ilvl="1">
      <w:start w:val="1"/>
      <w:numFmt w:val="none"/>
      <w:lvlText w:val=""/>
      <w:lvlJc w:val="left"/>
      <w:pPr>
        <w:ind w:left="1440" w:hanging="360"/>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2"/>
  </w:num>
  <w:num w:numId="13">
    <w:abstractNumId w:val="3"/>
  </w:num>
  <w:num w:numId="14">
    <w:abstractNumId w:val="6"/>
  </w:num>
  <w:num w:numId="15">
    <w:abstractNumId w:val="5"/>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503"/>
    <w:rsid w:val="000013C2"/>
    <w:rsid w:val="0001245D"/>
    <w:rsid w:val="00023D7D"/>
    <w:rsid w:val="000309C4"/>
    <w:rsid w:val="00031AE2"/>
    <w:rsid w:val="00046545"/>
    <w:rsid w:val="000631E2"/>
    <w:rsid w:val="000659E1"/>
    <w:rsid w:val="00083991"/>
    <w:rsid w:val="00095FF5"/>
    <w:rsid w:val="000A5463"/>
    <w:rsid w:val="000C39B1"/>
    <w:rsid w:val="000C6EFE"/>
    <w:rsid w:val="000D4A5A"/>
    <w:rsid w:val="000E0E64"/>
    <w:rsid w:val="000F367A"/>
    <w:rsid w:val="000F4C0F"/>
    <w:rsid w:val="00107BBF"/>
    <w:rsid w:val="00110F33"/>
    <w:rsid w:val="0011174D"/>
    <w:rsid w:val="00121BBC"/>
    <w:rsid w:val="00130458"/>
    <w:rsid w:val="001341ED"/>
    <w:rsid w:val="001358A3"/>
    <w:rsid w:val="001512E0"/>
    <w:rsid w:val="001548DC"/>
    <w:rsid w:val="001563C6"/>
    <w:rsid w:val="00160360"/>
    <w:rsid w:val="00174B1D"/>
    <w:rsid w:val="00195DA2"/>
    <w:rsid w:val="00195F17"/>
    <w:rsid w:val="00197430"/>
    <w:rsid w:val="001B4640"/>
    <w:rsid w:val="001C0FF6"/>
    <w:rsid w:val="001C63F7"/>
    <w:rsid w:val="001D7538"/>
    <w:rsid w:val="002403D9"/>
    <w:rsid w:val="00245D0B"/>
    <w:rsid w:val="00247FA2"/>
    <w:rsid w:val="002517D7"/>
    <w:rsid w:val="00275DFA"/>
    <w:rsid w:val="002801C3"/>
    <w:rsid w:val="002869B8"/>
    <w:rsid w:val="002870DE"/>
    <w:rsid w:val="002872F5"/>
    <w:rsid w:val="00293495"/>
    <w:rsid w:val="002A0F5A"/>
    <w:rsid w:val="002B6892"/>
    <w:rsid w:val="002D02B2"/>
    <w:rsid w:val="0030593E"/>
    <w:rsid w:val="00310714"/>
    <w:rsid w:val="00325105"/>
    <w:rsid w:val="00337860"/>
    <w:rsid w:val="0036685E"/>
    <w:rsid w:val="00377511"/>
    <w:rsid w:val="00396E14"/>
    <w:rsid w:val="003B5503"/>
    <w:rsid w:val="003B6081"/>
    <w:rsid w:val="003C00FD"/>
    <w:rsid w:val="003E0E2C"/>
    <w:rsid w:val="003E211D"/>
    <w:rsid w:val="00404353"/>
    <w:rsid w:val="0041775C"/>
    <w:rsid w:val="00423D3A"/>
    <w:rsid w:val="00426761"/>
    <w:rsid w:val="00440A18"/>
    <w:rsid w:val="0045455E"/>
    <w:rsid w:val="004576A0"/>
    <w:rsid w:val="00462539"/>
    <w:rsid w:val="00486182"/>
    <w:rsid w:val="00487620"/>
    <w:rsid w:val="00490075"/>
    <w:rsid w:val="00492B0E"/>
    <w:rsid w:val="0049708B"/>
    <w:rsid w:val="004A71A2"/>
    <w:rsid w:val="004B4FCA"/>
    <w:rsid w:val="004D5CF1"/>
    <w:rsid w:val="004E1EF4"/>
    <w:rsid w:val="004F2537"/>
    <w:rsid w:val="005270E1"/>
    <w:rsid w:val="00536BF9"/>
    <w:rsid w:val="0054554E"/>
    <w:rsid w:val="0054675C"/>
    <w:rsid w:val="00546D99"/>
    <w:rsid w:val="00564F9B"/>
    <w:rsid w:val="00587D73"/>
    <w:rsid w:val="00592EF6"/>
    <w:rsid w:val="00597377"/>
    <w:rsid w:val="005B1AD7"/>
    <w:rsid w:val="005B350B"/>
    <w:rsid w:val="005C2F1D"/>
    <w:rsid w:val="005E6698"/>
    <w:rsid w:val="005F233C"/>
    <w:rsid w:val="005F61CD"/>
    <w:rsid w:val="005F630A"/>
    <w:rsid w:val="005F70B0"/>
    <w:rsid w:val="00604C84"/>
    <w:rsid w:val="00610A2D"/>
    <w:rsid w:val="00613DF9"/>
    <w:rsid w:val="00621BBD"/>
    <w:rsid w:val="006274F4"/>
    <w:rsid w:val="006343B0"/>
    <w:rsid w:val="00654F7A"/>
    <w:rsid w:val="00696E9E"/>
    <w:rsid w:val="006A0882"/>
    <w:rsid w:val="006B0A42"/>
    <w:rsid w:val="006B693A"/>
    <w:rsid w:val="006C0A0F"/>
    <w:rsid w:val="006D7889"/>
    <w:rsid w:val="006E7951"/>
    <w:rsid w:val="007126FB"/>
    <w:rsid w:val="007129F2"/>
    <w:rsid w:val="00722513"/>
    <w:rsid w:val="00726247"/>
    <w:rsid w:val="007418FB"/>
    <w:rsid w:val="00744252"/>
    <w:rsid w:val="0074784A"/>
    <w:rsid w:val="0075401F"/>
    <w:rsid w:val="007662D5"/>
    <w:rsid w:val="007703F9"/>
    <w:rsid w:val="007820E3"/>
    <w:rsid w:val="00784BBC"/>
    <w:rsid w:val="00786F95"/>
    <w:rsid w:val="00797BEB"/>
    <w:rsid w:val="007A4AB1"/>
    <w:rsid w:val="007A6FAC"/>
    <w:rsid w:val="007B19D5"/>
    <w:rsid w:val="007B1C22"/>
    <w:rsid w:val="007B7E47"/>
    <w:rsid w:val="007F6C91"/>
    <w:rsid w:val="0081728B"/>
    <w:rsid w:val="00823310"/>
    <w:rsid w:val="00824C00"/>
    <w:rsid w:val="0082602B"/>
    <w:rsid w:val="00841937"/>
    <w:rsid w:val="00854740"/>
    <w:rsid w:val="00855816"/>
    <w:rsid w:val="00866ADC"/>
    <w:rsid w:val="00875BD2"/>
    <w:rsid w:val="0089251E"/>
    <w:rsid w:val="0089484E"/>
    <w:rsid w:val="008A50CC"/>
    <w:rsid w:val="008B7825"/>
    <w:rsid w:val="008C3225"/>
    <w:rsid w:val="008C5BA3"/>
    <w:rsid w:val="008D199F"/>
    <w:rsid w:val="008D6120"/>
    <w:rsid w:val="008E5DD1"/>
    <w:rsid w:val="008F6C03"/>
    <w:rsid w:val="009064EF"/>
    <w:rsid w:val="00907306"/>
    <w:rsid w:val="009123E7"/>
    <w:rsid w:val="0091718F"/>
    <w:rsid w:val="00947031"/>
    <w:rsid w:val="00957ECB"/>
    <w:rsid w:val="00973237"/>
    <w:rsid w:val="00984E14"/>
    <w:rsid w:val="0098745A"/>
    <w:rsid w:val="009878B5"/>
    <w:rsid w:val="00994861"/>
    <w:rsid w:val="009B2437"/>
    <w:rsid w:val="009C3AA7"/>
    <w:rsid w:val="009E4E3F"/>
    <w:rsid w:val="009E70A5"/>
    <w:rsid w:val="009E79E5"/>
    <w:rsid w:val="00A318E7"/>
    <w:rsid w:val="00A46C6F"/>
    <w:rsid w:val="00A46D36"/>
    <w:rsid w:val="00A47874"/>
    <w:rsid w:val="00A55610"/>
    <w:rsid w:val="00A57A0E"/>
    <w:rsid w:val="00A63D80"/>
    <w:rsid w:val="00A74135"/>
    <w:rsid w:val="00AA14B5"/>
    <w:rsid w:val="00AA5A4E"/>
    <w:rsid w:val="00AA6EAB"/>
    <w:rsid w:val="00AD102A"/>
    <w:rsid w:val="00AD4D44"/>
    <w:rsid w:val="00AE2546"/>
    <w:rsid w:val="00AE49E9"/>
    <w:rsid w:val="00B140C9"/>
    <w:rsid w:val="00B47238"/>
    <w:rsid w:val="00B516DD"/>
    <w:rsid w:val="00B56C88"/>
    <w:rsid w:val="00B62BC1"/>
    <w:rsid w:val="00B630DD"/>
    <w:rsid w:val="00B76C12"/>
    <w:rsid w:val="00B85AAC"/>
    <w:rsid w:val="00B868A0"/>
    <w:rsid w:val="00BA6689"/>
    <w:rsid w:val="00BB755E"/>
    <w:rsid w:val="00BB7D25"/>
    <w:rsid w:val="00BC3E9F"/>
    <w:rsid w:val="00BD4B7B"/>
    <w:rsid w:val="00BD5629"/>
    <w:rsid w:val="00BF317F"/>
    <w:rsid w:val="00C12762"/>
    <w:rsid w:val="00C1356D"/>
    <w:rsid w:val="00C2589D"/>
    <w:rsid w:val="00C3170B"/>
    <w:rsid w:val="00C50971"/>
    <w:rsid w:val="00C52B56"/>
    <w:rsid w:val="00C53CC4"/>
    <w:rsid w:val="00C56A14"/>
    <w:rsid w:val="00C67C9B"/>
    <w:rsid w:val="00C84A13"/>
    <w:rsid w:val="00C86453"/>
    <w:rsid w:val="00C9720F"/>
    <w:rsid w:val="00CA2D8A"/>
    <w:rsid w:val="00CA57AD"/>
    <w:rsid w:val="00CB2B1A"/>
    <w:rsid w:val="00CC5411"/>
    <w:rsid w:val="00CD5AA4"/>
    <w:rsid w:val="00CF055E"/>
    <w:rsid w:val="00D1732D"/>
    <w:rsid w:val="00D53F6A"/>
    <w:rsid w:val="00D62E01"/>
    <w:rsid w:val="00D633DB"/>
    <w:rsid w:val="00D70A85"/>
    <w:rsid w:val="00D73DAF"/>
    <w:rsid w:val="00D865A1"/>
    <w:rsid w:val="00DB19D6"/>
    <w:rsid w:val="00DB6D28"/>
    <w:rsid w:val="00DE17A3"/>
    <w:rsid w:val="00E00FB6"/>
    <w:rsid w:val="00E36698"/>
    <w:rsid w:val="00E37391"/>
    <w:rsid w:val="00E43168"/>
    <w:rsid w:val="00E5061C"/>
    <w:rsid w:val="00E55EE0"/>
    <w:rsid w:val="00E60E30"/>
    <w:rsid w:val="00E6741D"/>
    <w:rsid w:val="00E751B0"/>
    <w:rsid w:val="00E8327E"/>
    <w:rsid w:val="00E90B64"/>
    <w:rsid w:val="00E94B27"/>
    <w:rsid w:val="00EA271D"/>
    <w:rsid w:val="00EA3984"/>
    <w:rsid w:val="00EA3CE5"/>
    <w:rsid w:val="00EA433A"/>
    <w:rsid w:val="00EB080F"/>
    <w:rsid w:val="00EB0918"/>
    <w:rsid w:val="00EC4FBA"/>
    <w:rsid w:val="00EC6673"/>
    <w:rsid w:val="00EC6A71"/>
    <w:rsid w:val="00ED612F"/>
    <w:rsid w:val="00EE2849"/>
    <w:rsid w:val="00F030FB"/>
    <w:rsid w:val="00F16F5F"/>
    <w:rsid w:val="00F17D6E"/>
    <w:rsid w:val="00F25469"/>
    <w:rsid w:val="00F30B4D"/>
    <w:rsid w:val="00F459DE"/>
    <w:rsid w:val="00F4774B"/>
    <w:rsid w:val="00F53D45"/>
    <w:rsid w:val="00F56E4A"/>
    <w:rsid w:val="00F5744F"/>
    <w:rsid w:val="00F61323"/>
    <w:rsid w:val="00F74C55"/>
    <w:rsid w:val="00F76247"/>
    <w:rsid w:val="00F9599B"/>
    <w:rsid w:val="00FB7C18"/>
    <w:rsid w:val="00FC4120"/>
    <w:rsid w:val="00FD2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2F707"/>
  <w15:chartTrackingRefBased/>
  <w15:docId w15:val="{F78F5C25-9970-4635-AF2D-9D3BA1E0F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53F6A"/>
    <w:pPr>
      <w:spacing w:after="0" w:line="240" w:lineRule="auto"/>
      <w:jc w:val="both"/>
    </w:pPr>
    <w:rPr>
      <w:rFonts w:ascii="Arial" w:eastAsia="SimSun" w:hAnsi="Arial" w:cs="Times New Roman"/>
      <w:sz w:val="24"/>
      <w:szCs w:val="24"/>
    </w:rPr>
  </w:style>
  <w:style w:type="paragraph" w:styleId="Heading1">
    <w:name w:val="heading 1"/>
    <w:basedOn w:val="Normal"/>
    <w:next w:val="Normal"/>
    <w:link w:val="Heading1Char"/>
    <w:uiPriority w:val="1"/>
    <w:qFormat/>
    <w:rsid w:val="00D53F6A"/>
    <w:pPr>
      <w:keepNext/>
      <w:pageBreakBefore/>
      <w:numPr>
        <w:numId w:val="11"/>
      </w:numPr>
      <w:spacing w:before="360" w:after="360"/>
      <w:outlineLvl w:val="0"/>
    </w:pPr>
    <w:rPr>
      <w:rFonts w:cs="Arial"/>
      <w:b/>
      <w:bCs/>
      <w:caps/>
      <w:kern w:val="32"/>
      <w:sz w:val="28"/>
      <w:szCs w:val="32"/>
    </w:rPr>
  </w:style>
  <w:style w:type="paragraph" w:styleId="Heading2">
    <w:name w:val="heading 2"/>
    <w:basedOn w:val="Normal"/>
    <w:next w:val="Normal"/>
    <w:link w:val="Heading2Char"/>
    <w:qFormat/>
    <w:rsid w:val="00D53F6A"/>
    <w:pPr>
      <w:keepNext/>
      <w:numPr>
        <w:ilvl w:val="1"/>
        <w:numId w:val="11"/>
      </w:numPr>
      <w:spacing w:before="240" w:after="240"/>
      <w:outlineLvl w:val="1"/>
    </w:pPr>
    <w:rPr>
      <w:rFonts w:cs="Arial"/>
      <w:b/>
      <w:bCs/>
      <w:iCs/>
      <w:caps/>
      <w:szCs w:val="28"/>
    </w:rPr>
  </w:style>
  <w:style w:type="paragraph" w:styleId="Heading3">
    <w:name w:val="heading 3"/>
    <w:basedOn w:val="Normal"/>
    <w:next w:val="Normal"/>
    <w:link w:val="Heading3Char"/>
    <w:qFormat/>
    <w:rsid w:val="00D53F6A"/>
    <w:pPr>
      <w:keepNext/>
      <w:keepLines/>
      <w:numPr>
        <w:ilvl w:val="2"/>
        <w:numId w:val="11"/>
      </w:numPr>
      <w:spacing w:before="240" w:after="240"/>
      <w:outlineLvl w:val="2"/>
    </w:pPr>
    <w:rPr>
      <w:rFonts w:cs="Arial"/>
      <w:b/>
      <w:bCs/>
      <w:szCs w:val="26"/>
    </w:rPr>
  </w:style>
  <w:style w:type="paragraph" w:styleId="Heading4">
    <w:name w:val="heading 4"/>
    <w:basedOn w:val="Normal"/>
    <w:next w:val="Normal"/>
    <w:link w:val="Heading4Char"/>
    <w:qFormat/>
    <w:rsid w:val="00D53F6A"/>
    <w:pPr>
      <w:keepNext/>
      <w:numPr>
        <w:ilvl w:val="3"/>
        <w:numId w:val="11"/>
      </w:numPr>
      <w:tabs>
        <w:tab w:val="clear" w:pos="2340"/>
        <w:tab w:val="num" w:pos="2430"/>
      </w:tabs>
      <w:spacing w:before="240" w:after="240"/>
      <w:outlineLvl w:val="3"/>
    </w:pPr>
    <w:rPr>
      <w:szCs w:val="20"/>
      <w:u w:val="single"/>
    </w:rPr>
  </w:style>
  <w:style w:type="paragraph" w:styleId="Heading5">
    <w:name w:val="heading 5"/>
    <w:basedOn w:val="Normal"/>
    <w:next w:val="Normal"/>
    <w:link w:val="Heading5Char"/>
    <w:qFormat/>
    <w:rsid w:val="00D53F6A"/>
    <w:pPr>
      <w:keepNext/>
      <w:keepLines/>
      <w:tabs>
        <w:tab w:val="num" w:pos="1008"/>
      </w:tabs>
      <w:spacing w:before="240" w:after="60"/>
      <w:ind w:left="1008" w:hanging="1008"/>
      <w:outlineLvl w:val="4"/>
    </w:pPr>
    <w:rPr>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53F6A"/>
    <w:rPr>
      <w:rFonts w:ascii="Arial" w:eastAsia="SimSun" w:hAnsi="Arial" w:cs="Arial"/>
      <w:b/>
      <w:bCs/>
      <w:caps/>
      <w:kern w:val="32"/>
      <w:sz w:val="28"/>
      <w:szCs w:val="32"/>
    </w:rPr>
  </w:style>
  <w:style w:type="paragraph" w:styleId="BodyText">
    <w:name w:val="Body Text"/>
    <w:basedOn w:val="Normal"/>
    <w:link w:val="BodyTextChar"/>
    <w:uiPriority w:val="99"/>
    <w:semiHidden/>
    <w:unhideWhenUsed/>
    <w:rsid w:val="009E70A5"/>
    <w:pPr>
      <w:spacing w:after="120"/>
    </w:pPr>
  </w:style>
  <w:style w:type="character" w:customStyle="1" w:styleId="BodyTextChar">
    <w:name w:val="Body Text Char"/>
    <w:basedOn w:val="DefaultParagraphFont"/>
    <w:link w:val="BodyText"/>
    <w:uiPriority w:val="99"/>
    <w:semiHidden/>
    <w:rsid w:val="009E70A5"/>
  </w:style>
  <w:style w:type="character" w:customStyle="1" w:styleId="Heading2Char">
    <w:name w:val="Heading 2 Char"/>
    <w:basedOn w:val="DefaultParagraphFont"/>
    <w:link w:val="Heading2"/>
    <w:rsid w:val="00D53F6A"/>
    <w:rPr>
      <w:rFonts w:ascii="Arial" w:eastAsia="SimSun" w:hAnsi="Arial" w:cs="Arial"/>
      <w:b/>
      <w:bCs/>
      <w:iCs/>
      <w:caps/>
      <w:sz w:val="24"/>
      <w:szCs w:val="28"/>
    </w:rPr>
  </w:style>
  <w:style w:type="character" w:customStyle="1" w:styleId="Heading3Char">
    <w:name w:val="Heading 3 Char"/>
    <w:basedOn w:val="DefaultParagraphFont"/>
    <w:link w:val="Heading3"/>
    <w:rsid w:val="009E70A5"/>
    <w:rPr>
      <w:rFonts w:ascii="Arial" w:eastAsia="SimSun" w:hAnsi="Arial" w:cs="Arial"/>
      <w:b/>
      <w:bCs/>
      <w:sz w:val="24"/>
      <w:szCs w:val="26"/>
    </w:rPr>
  </w:style>
  <w:style w:type="character" w:customStyle="1" w:styleId="Heading4Char">
    <w:name w:val="Heading 4 Char"/>
    <w:basedOn w:val="DefaultParagraphFont"/>
    <w:link w:val="Heading4"/>
    <w:rsid w:val="009E70A5"/>
    <w:rPr>
      <w:rFonts w:ascii="Arial" w:eastAsia="SimSun" w:hAnsi="Arial" w:cs="Times New Roman"/>
      <w:sz w:val="24"/>
      <w:szCs w:val="20"/>
      <w:u w:val="single"/>
    </w:rPr>
  </w:style>
  <w:style w:type="paragraph" w:customStyle="1" w:styleId="CWCSections">
    <w:name w:val="CWC_Sections"/>
    <w:basedOn w:val="Normal"/>
    <w:qFormat/>
    <w:rsid w:val="008B7825"/>
    <w:rPr>
      <w:rFonts w:eastAsia="Times New Roman"/>
      <w:i/>
      <w:iCs/>
    </w:rPr>
  </w:style>
  <w:style w:type="paragraph" w:customStyle="1" w:styleId="Tables">
    <w:name w:val="Tables"/>
    <w:basedOn w:val="Normal"/>
    <w:link w:val="TablesChar"/>
    <w:qFormat/>
    <w:rsid w:val="008B7825"/>
    <w:pPr>
      <w:keepNext/>
      <w:spacing w:before="240" w:after="120"/>
      <w:jc w:val="center"/>
    </w:pPr>
    <w:rPr>
      <w:rFonts w:eastAsia="Times New Roman"/>
      <w:b/>
    </w:rPr>
  </w:style>
  <w:style w:type="character" w:customStyle="1" w:styleId="TablesChar">
    <w:name w:val="Tables Char"/>
    <w:basedOn w:val="DefaultParagraphFont"/>
    <w:link w:val="Tables"/>
    <w:rsid w:val="008B7825"/>
    <w:rPr>
      <w:rFonts w:eastAsia="Times New Roman" w:cs="Times New Roman"/>
      <w:b/>
      <w:sz w:val="24"/>
      <w:szCs w:val="24"/>
    </w:rPr>
  </w:style>
  <w:style w:type="character" w:customStyle="1" w:styleId="Heading5Char">
    <w:name w:val="Heading 5 Char"/>
    <w:basedOn w:val="DefaultParagraphFont"/>
    <w:link w:val="Heading5"/>
    <w:rsid w:val="00D53F6A"/>
    <w:rPr>
      <w:rFonts w:ascii="Arial" w:eastAsia="SimSun" w:hAnsi="Arial" w:cs="Times New Roman"/>
      <w:b/>
      <w:bCs/>
      <w:i/>
      <w:iCs/>
      <w:sz w:val="20"/>
      <w:szCs w:val="20"/>
    </w:rPr>
  </w:style>
  <w:style w:type="character" w:styleId="CommentReference">
    <w:name w:val="annotation reference"/>
    <w:basedOn w:val="DefaultParagraphFont"/>
    <w:uiPriority w:val="99"/>
    <w:semiHidden/>
    <w:unhideWhenUsed/>
    <w:rsid w:val="001D7538"/>
    <w:rPr>
      <w:sz w:val="16"/>
      <w:szCs w:val="16"/>
    </w:rPr>
  </w:style>
  <w:style w:type="paragraph" w:styleId="CommentText">
    <w:name w:val="annotation text"/>
    <w:basedOn w:val="Normal"/>
    <w:link w:val="CommentTextChar"/>
    <w:uiPriority w:val="99"/>
    <w:semiHidden/>
    <w:unhideWhenUsed/>
    <w:rsid w:val="001D7538"/>
    <w:rPr>
      <w:sz w:val="20"/>
      <w:szCs w:val="20"/>
    </w:rPr>
  </w:style>
  <w:style w:type="character" w:customStyle="1" w:styleId="CommentTextChar">
    <w:name w:val="Comment Text Char"/>
    <w:basedOn w:val="DefaultParagraphFont"/>
    <w:link w:val="CommentText"/>
    <w:uiPriority w:val="99"/>
    <w:semiHidden/>
    <w:rsid w:val="001D7538"/>
    <w:rPr>
      <w:rFonts w:ascii="Arial" w:eastAsia="SimSun" w:hAnsi="Arial" w:cs="Times New Roman"/>
      <w:sz w:val="20"/>
      <w:szCs w:val="20"/>
    </w:rPr>
  </w:style>
  <w:style w:type="paragraph" w:styleId="CommentSubject">
    <w:name w:val="annotation subject"/>
    <w:basedOn w:val="CommentText"/>
    <w:next w:val="CommentText"/>
    <w:link w:val="CommentSubjectChar"/>
    <w:uiPriority w:val="99"/>
    <w:semiHidden/>
    <w:unhideWhenUsed/>
    <w:rsid w:val="001D7538"/>
    <w:rPr>
      <w:b/>
      <w:bCs/>
    </w:rPr>
  </w:style>
  <w:style w:type="character" w:customStyle="1" w:styleId="CommentSubjectChar">
    <w:name w:val="Comment Subject Char"/>
    <w:basedOn w:val="CommentTextChar"/>
    <w:link w:val="CommentSubject"/>
    <w:uiPriority w:val="99"/>
    <w:semiHidden/>
    <w:rsid w:val="001D7538"/>
    <w:rPr>
      <w:rFonts w:ascii="Arial" w:eastAsia="SimSun" w:hAnsi="Arial" w:cs="Times New Roman"/>
      <w:b/>
      <w:bCs/>
      <w:sz w:val="20"/>
      <w:szCs w:val="20"/>
    </w:rPr>
  </w:style>
  <w:style w:type="paragraph" w:styleId="BalloonText">
    <w:name w:val="Balloon Text"/>
    <w:basedOn w:val="Normal"/>
    <w:link w:val="BalloonTextChar"/>
    <w:uiPriority w:val="99"/>
    <w:semiHidden/>
    <w:unhideWhenUsed/>
    <w:rsid w:val="001D75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7538"/>
    <w:rPr>
      <w:rFonts w:ascii="Segoe UI" w:eastAsia="SimSun" w:hAnsi="Segoe UI" w:cs="Segoe UI"/>
      <w:sz w:val="18"/>
      <w:szCs w:val="18"/>
    </w:rPr>
  </w:style>
  <w:style w:type="paragraph" w:styleId="ListParagraph">
    <w:name w:val="List Paragraph"/>
    <w:basedOn w:val="Normal"/>
    <w:uiPriority w:val="34"/>
    <w:qFormat/>
    <w:rsid w:val="0091718F"/>
    <w:pPr>
      <w:ind w:left="720"/>
      <w:contextualSpacing/>
    </w:pPr>
  </w:style>
  <w:style w:type="paragraph" w:styleId="FootnoteText">
    <w:name w:val="footnote text"/>
    <w:basedOn w:val="Normal"/>
    <w:link w:val="FootnoteTextChar"/>
    <w:uiPriority w:val="99"/>
    <w:semiHidden/>
    <w:unhideWhenUsed/>
    <w:rsid w:val="000E0E64"/>
    <w:rPr>
      <w:sz w:val="20"/>
      <w:szCs w:val="20"/>
    </w:rPr>
  </w:style>
  <w:style w:type="character" w:customStyle="1" w:styleId="FootnoteTextChar">
    <w:name w:val="Footnote Text Char"/>
    <w:basedOn w:val="DefaultParagraphFont"/>
    <w:link w:val="FootnoteText"/>
    <w:uiPriority w:val="99"/>
    <w:semiHidden/>
    <w:rsid w:val="000E0E64"/>
    <w:rPr>
      <w:rFonts w:ascii="Arial" w:eastAsia="SimSun" w:hAnsi="Arial" w:cs="Times New Roman"/>
      <w:sz w:val="20"/>
      <w:szCs w:val="20"/>
    </w:rPr>
  </w:style>
  <w:style w:type="character" w:styleId="FootnoteReference">
    <w:name w:val="footnote reference"/>
    <w:basedOn w:val="DefaultParagraphFont"/>
    <w:uiPriority w:val="99"/>
    <w:semiHidden/>
    <w:unhideWhenUsed/>
    <w:rsid w:val="000E0E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13801">
      <w:bodyDiv w:val="1"/>
      <w:marLeft w:val="0"/>
      <w:marRight w:val="0"/>
      <w:marTop w:val="0"/>
      <w:marBottom w:val="0"/>
      <w:divBdr>
        <w:top w:val="none" w:sz="0" w:space="0" w:color="auto"/>
        <w:left w:val="none" w:sz="0" w:space="0" w:color="auto"/>
        <w:bottom w:val="none" w:sz="0" w:space="0" w:color="auto"/>
        <w:right w:val="none" w:sz="0" w:space="0" w:color="auto"/>
      </w:divBdr>
    </w:div>
    <w:div w:id="169433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2BFEF-E066-427D-A7F2-F81043721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1219</Words>
  <Characters>7291</Characters>
  <Application>Microsoft Office Word</Application>
  <DocSecurity>4</DocSecurity>
  <Lines>1458</Lines>
  <Paragraphs>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Allan</dc:creator>
  <cp:keywords/>
  <dc:description/>
  <cp:lastModifiedBy>Tori Klug</cp:lastModifiedBy>
  <cp:revision>2</cp:revision>
  <cp:lastPrinted>2017-04-05T21:49:00Z</cp:lastPrinted>
  <dcterms:created xsi:type="dcterms:W3CDTF">2017-05-26T19:15:00Z</dcterms:created>
  <dcterms:modified xsi:type="dcterms:W3CDTF">2017-05-26T19:15:00Z</dcterms:modified>
</cp:coreProperties>
</file>